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04" w:rsidRDefault="007B1304" w:rsidP="007B1304">
      <w:pPr>
        <w:spacing w:line="264" w:lineRule="auto"/>
        <w:jc w:val="both"/>
        <w:rPr>
          <w:rFonts w:ascii="Arial" w:hAnsi="Arial"/>
          <w:sz w:val="32"/>
          <w:szCs w:val="22"/>
        </w:rPr>
      </w:pPr>
    </w:p>
    <w:p w:rsidR="00B45514" w:rsidRDefault="006B1A44" w:rsidP="007B1304">
      <w:pPr>
        <w:spacing w:before="0" w:line="264" w:lineRule="auto"/>
        <w:jc w:val="both"/>
        <w:rPr>
          <w:rFonts w:ascii="Arial" w:hAnsi="Arial"/>
          <w:b/>
          <w:sz w:val="32"/>
          <w:szCs w:val="22"/>
        </w:rPr>
      </w:pPr>
      <w:r w:rsidRPr="0040278A">
        <w:rPr>
          <w:rFonts w:ascii="Arial" w:hAnsi="Arial"/>
          <w:b/>
          <w:sz w:val="32"/>
          <w:szCs w:val="22"/>
        </w:rPr>
        <w:t>Issues Paper:</w:t>
      </w:r>
      <w:r w:rsidRPr="0040278A">
        <w:rPr>
          <w:rFonts w:ascii="Arial" w:hAnsi="Arial"/>
          <w:b/>
          <w:sz w:val="32"/>
          <w:szCs w:val="22"/>
        </w:rPr>
        <w:tab/>
      </w:r>
      <w:r w:rsidR="001F68DF" w:rsidRPr="0040278A">
        <w:rPr>
          <w:rFonts w:ascii="Arial" w:hAnsi="Arial"/>
          <w:b/>
          <w:sz w:val="32"/>
          <w:szCs w:val="22"/>
        </w:rPr>
        <w:t>Questions for consideration</w:t>
      </w:r>
    </w:p>
    <w:p w:rsidR="0040278A" w:rsidRPr="0040278A" w:rsidRDefault="0040278A" w:rsidP="007B1304">
      <w:pPr>
        <w:spacing w:before="0" w:line="264" w:lineRule="auto"/>
        <w:jc w:val="both"/>
        <w:rPr>
          <w:rFonts w:ascii="Arial" w:hAnsi="Arial"/>
          <w:b/>
          <w:sz w:val="32"/>
          <w:szCs w:val="22"/>
        </w:rPr>
      </w:pPr>
    </w:p>
    <w:p w:rsidR="006B1A44" w:rsidRPr="0040278A" w:rsidRDefault="008835EB" w:rsidP="0040278A">
      <w:pPr>
        <w:spacing w:before="0" w:line="264" w:lineRule="auto"/>
        <w:jc w:val="both"/>
        <w:rPr>
          <w:rFonts w:ascii="Arial" w:hAnsi="Arial"/>
          <w:sz w:val="28"/>
          <w:szCs w:val="28"/>
        </w:rPr>
      </w:pPr>
      <w:r w:rsidRPr="0040278A">
        <w:rPr>
          <w:rFonts w:ascii="Arial" w:hAnsi="Arial"/>
          <w:i/>
          <w:sz w:val="28"/>
          <w:szCs w:val="28"/>
        </w:rPr>
        <w:t>Summary Offences Act 1988</w:t>
      </w:r>
      <w:r w:rsidRPr="0040278A">
        <w:rPr>
          <w:rFonts w:ascii="Arial" w:hAnsi="Arial"/>
          <w:sz w:val="28"/>
          <w:szCs w:val="28"/>
        </w:rPr>
        <w:t xml:space="preserve"> Section 9: Continuation of intoxicated and disorderly behaviour following move on direction.</w:t>
      </w:r>
    </w:p>
    <w:p w:rsidR="008835EB" w:rsidRPr="000769B8" w:rsidRDefault="001F68DF" w:rsidP="000769B8">
      <w:pPr>
        <w:spacing w:after="120" w:line="264" w:lineRule="auto"/>
        <w:rPr>
          <w:rFonts w:ascii="Arial" w:hAnsi="Arial"/>
          <w:sz w:val="24"/>
          <w:szCs w:val="22"/>
        </w:rPr>
      </w:pPr>
      <w:r w:rsidRPr="000769B8">
        <w:rPr>
          <w:rFonts w:ascii="Arial" w:hAnsi="Arial"/>
          <w:sz w:val="24"/>
          <w:szCs w:val="22"/>
        </w:rPr>
        <w:t xml:space="preserve">You may use this document as a guide to help you with </w:t>
      </w:r>
      <w:r w:rsidR="005C720C" w:rsidRPr="000769B8">
        <w:rPr>
          <w:rFonts w:ascii="Arial" w:hAnsi="Arial"/>
          <w:sz w:val="24"/>
          <w:szCs w:val="22"/>
        </w:rPr>
        <w:t xml:space="preserve">the preparation of </w:t>
      </w:r>
      <w:r w:rsidRPr="000769B8">
        <w:rPr>
          <w:rFonts w:ascii="Arial" w:hAnsi="Arial"/>
          <w:sz w:val="24"/>
          <w:szCs w:val="22"/>
        </w:rPr>
        <w:t>your submission.</w:t>
      </w:r>
    </w:p>
    <w:p w:rsidR="007B1304" w:rsidRDefault="007B1304" w:rsidP="007B1304">
      <w:pPr>
        <w:pStyle w:val="style1"/>
        <w:spacing w:line="264" w:lineRule="auto"/>
        <w:rPr>
          <w:rFonts w:ascii="Arial" w:hAnsi="Arial"/>
          <w:b/>
          <w:sz w:val="20"/>
        </w:rPr>
      </w:pPr>
    </w:p>
    <w:p w:rsidR="007B1304" w:rsidRPr="00E379FB" w:rsidRDefault="007B1304" w:rsidP="007B1304">
      <w:pPr>
        <w:pStyle w:val="style1"/>
        <w:pBdr>
          <w:top w:val="single" w:sz="4" w:space="1" w:color="auto"/>
        </w:pBdr>
        <w:spacing w:line="264" w:lineRule="auto"/>
        <w:rPr>
          <w:rFonts w:ascii="Arial" w:hAnsi="Arial"/>
          <w:sz w:val="20"/>
        </w:rPr>
      </w:pPr>
    </w:p>
    <w:p w:rsidR="007B1304" w:rsidRPr="00E379FB" w:rsidRDefault="007B1304" w:rsidP="007B1304">
      <w:pPr>
        <w:pStyle w:val="NoSpacing"/>
        <w:spacing w:after="120" w:line="264" w:lineRule="auto"/>
        <w:rPr>
          <w:rFonts w:ascii="Arial" w:eastAsia="Times New Roman" w:hAnsi="Arial" w:cs="Arial"/>
          <w:b/>
          <w:kern w:val="32"/>
          <w:sz w:val="20"/>
          <w:u w:val="single"/>
          <w:lang w:val="en-AU"/>
        </w:rPr>
      </w:pPr>
      <w:r w:rsidRPr="00E379FB">
        <w:rPr>
          <w:rFonts w:ascii="Arial" w:eastAsia="Times New Roman" w:hAnsi="Arial" w:cs="Arial"/>
          <w:b/>
          <w:kern w:val="32"/>
          <w:sz w:val="20"/>
          <w:u w:val="single"/>
          <w:lang w:val="en-AU"/>
        </w:rPr>
        <w:t>Optional</w:t>
      </w:r>
    </w:p>
    <w:p w:rsidR="007B1304" w:rsidRPr="00E379FB" w:rsidRDefault="007B1304" w:rsidP="007B1304">
      <w:pPr>
        <w:pStyle w:val="NoSpacing"/>
        <w:spacing w:line="360" w:lineRule="auto"/>
        <w:rPr>
          <w:rFonts w:ascii="Arial" w:eastAsia="Times New Roman" w:hAnsi="Arial" w:cs="Arial"/>
          <w:kern w:val="32"/>
          <w:sz w:val="20"/>
          <w:lang w:val="en-AU"/>
        </w:rPr>
      </w:pPr>
      <w:r w:rsidRPr="00E379FB">
        <w:rPr>
          <w:rFonts w:ascii="Arial" w:eastAsia="Times New Roman" w:hAnsi="Arial" w:cs="Arial"/>
          <w:kern w:val="32"/>
          <w:sz w:val="20"/>
          <w:lang w:val="en-AU"/>
        </w:rPr>
        <w:t>Your name:</w:t>
      </w:r>
      <w:r w:rsidRPr="00E379FB">
        <w:rPr>
          <w:rFonts w:ascii="Arial" w:eastAsia="Times New Roman" w:hAnsi="Arial" w:cs="Arial"/>
          <w:kern w:val="32"/>
          <w:sz w:val="20"/>
          <w:lang w:val="en-AU"/>
        </w:rPr>
        <w:tab/>
      </w:r>
      <w:r w:rsidRPr="00E379FB">
        <w:rPr>
          <w:rFonts w:ascii="Arial" w:eastAsia="Times New Roman" w:hAnsi="Arial" w:cs="Arial"/>
          <w:kern w:val="32"/>
          <w:sz w:val="20"/>
          <w:lang w:val="en-AU"/>
        </w:rPr>
        <w:fldChar w:fldCharType="begin">
          <w:ffData>
            <w:name w:val="Text26"/>
            <w:enabled/>
            <w:calcOnExit w:val="0"/>
            <w:textInput/>
          </w:ffData>
        </w:fldChar>
      </w:r>
      <w:r w:rsidRPr="00E379FB">
        <w:rPr>
          <w:rFonts w:ascii="Arial" w:eastAsia="Times New Roman" w:hAnsi="Arial" w:cs="Arial"/>
          <w:kern w:val="32"/>
          <w:sz w:val="20"/>
          <w:lang w:val="en-AU"/>
        </w:rPr>
        <w:instrText xml:space="preserve"> FORMTEXT </w:instrText>
      </w:r>
      <w:r w:rsidRPr="00E379FB">
        <w:rPr>
          <w:rFonts w:ascii="Arial" w:eastAsia="Times New Roman" w:hAnsi="Arial" w:cs="Arial"/>
          <w:kern w:val="32"/>
          <w:sz w:val="20"/>
          <w:lang w:val="en-AU"/>
        </w:rPr>
      </w:r>
      <w:r w:rsidRPr="00E379FB">
        <w:rPr>
          <w:rFonts w:ascii="Arial" w:eastAsia="Times New Roman" w:hAnsi="Arial" w:cs="Arial"/>
          <w:kern w:val="32"/>
          <w:sz w:val="20"/>
          <w:lang w:val="en-AU"/>
        </w:rPr>
        <w:fldChar w:fldCharType="separate"/>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fldChar w:fldCharType="end"/>
      </w:r>
    </w:p>
    <w:p w:rsidR="007B1304" w:rsidRPr="00E379FB" w:rsidRDefault="007B1304" w:rsidP="007B1304">
      <w:pPr>
        <w:pStyle w:val="NoSpacing"/>
        <w:spacing w:line="360" w:lineRule="auto"/>
        <w:rPr>
          <w:rFonts w:ascii="Arial" w:eastAsia="Times New Roman" w:hAnsi="Arial" w:cs="Arial"/>
          <w:kern w:val="32"/>
          <w:sz w:val="20"/>
          <w:lang w:val="en-AU"/>
        </w:rPr>
      </w:pPr>
      <w:r w:rsidRPr="00E379FB">
        <w:rPr>
          <w:rFonts w:ascii="Arial" w:eastAsia="Times New Roman" w:hAnsi="Arial" w:cs="Arial"/>
          <w:kern w:val="32"/>
          <w:sz w:val="20"/>
          <w:lang w:val="en-AU"/>
        </w:rPr>
        <w:t>Organisation:</w:t>
      </w:r>
      <w:r w:rsidRPr="00E379FB">
        <w:rPr>
          <w:rFonts w:ascii="Arial" w:eastAsia="Times New Roman" w:hAnsi="Arial" w:cs="Arial"/>
          <w:kern w:val="32"/>
          <w:sz w:val="20"/>
          <w:lang w:val="en-AU"/>
        </w:rPr>
        <w:tab/>
      </w:r>
      <w:r w:rsidRPr="00E379FB">
        <w:rPr>
          <w:rFonts w:ascii="Arial" w:eastAsia="Times New Roman" w:hAnsi="Arial" w:cs="Arial"/>
          <w:kern w:val="32"/>
          <w:sz w:val="20"/>
          <w:lang w:val="en-AU"/>
        </w:rPr>
        <w:fldChar w:fldCharType="begin">
          <w:ffData>
            <w:name w:val="Text27"/>
            <w:enabled/>
            <w:calcOnExit w:val="0"/>
            <w:textInput/>
          </w:ffData>
        </w:fldChar>
      </w:r>
      <w:r w:rsidRPr="00E379FB">
        <w:rPr>
          <w:rFonts w:ascii="Arial" w:eastAsia="Times New Roman" w:hAnsi="Arial" w:cs="Arial"/>
          <w:kern w:val="32"/>
          <w:sz w:val="20"/>
          <w:lang w:val="en-AU"/>
        </w:rPr>
        <w:instrText xml:space="preserve"> FORMTEXT </w:instrText>
      </w:r>
      <w:r w:rsidRPr="00E379FB">
        <w:rPr>
          <w:rFonts w:ascii="Arial" w:eastAsia="Times New Roman" w:hAnsi="Arial" w:cs="Arial"/>
          <w:kern w:val="32"/>
          <w:sz w:val="20"/>
          <w:lang w:val="en-AU"/>
        </w:rPr>
      </w:r>
      <w:r w:rsidRPr="00E379FB">
        <w:rPr>
          <w:rFonts w:ascii="Arial" w:eastAsia="Times New Roman" w:hAnsi="Arial" w:cs="Arial"/>
          <w:kern w:val="32"/>
          <w:sz w:val="20"/>
          <w:lang w:val="en-AU"/>
        </w:rPr>
        <w:fldChar w:fldCharType="separate"/>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fldChar w:fldCharType="end"/>
      </w:r>
    </w:p>
    <w:p w:rsidR="007B1304" w:rsidRPr="00E379FB" w:rsidRDefault="007B1304" w:rsidP="007B1304">
      <w:pPr>
        <w:pStyle w:val="NoSpacing"/>
        <w:spacing w:line="360" w:lineRule="auto"/>
        <w:rPr>
          <w:rFonts w:ascii="Arial" w:eastAsia="Times New Roman" w:hAnsi="Arial" w:cs="Arial"/>
          <w:kern w:val="32"/>
          <w:sz w:val="20"/>
          <w:lang w:val="en-AU"/>
        </w:rPr>
      </w:pPr>
      <w:r w:rsidRPr="00E379FB">
        <w:rPr>
          <w:rFonts w:ascii="Arial" w:eastAsia="Times New Roman" w:hAnsi="Arial" w:cs="Arial"/>
          <w:kern w:val="32"/>
          <w:sz w:val="20"/>
          <w:lang w:val="en-AU"/>
        </w:rPr>
        <w:t>Contact Details:</w:t>
      </w:r>
      <w:r w:rsidRPr="00E379FB">
        <w:rPr>
          <w:rFonts w:ascii="Arial" w:eastAsia="Times New Roman" w:hAnsi="Arial" w:cs="Arial"/>
          <w:kern w:val="32"/>
          <w:sz w:val="20"/>
          <w:lang w:val="en-AU"/>
        </w:rPr>
        <w:tab/>
      </w:r>
      <w:r w:rsidRPr="00E379FB">
        <w:rPr>
          <w:rFonts w:ascii="Arial" w:eastAsia="Times New Roman" w:hAnsi="Arial" w:cs="Arial"/>
          <w:kern w:val="32"/>
          <w:sz w:val="20"/>
          <w:lang w:val="en-AU"/>
        </w:rPr>
        <w:fldChar w:fldCharType="begin">
          <w:ffData>
            <w:name w:val="Text28"/>
            <w:enabled/>
            <w:calcOnExit w:val="0"/>
            <w:textInput/>
          </w:ffData>
        </w:fldChar>
      </w:r>
      <w:r w:rsidRPr="00E379FB">
        <w:rPr>
          <w:rFonts w:ascii="Arial" w:eastAsia="Times New Roman" w:hAnsi="Arial" w:cs="Arial"/>
          <w:kern w:val="32"/>
          <w:sz w:val="20"/>
          <w:lang w:val="en-AU"/>
        </w:rPr>
        <w:instrText xml:space="preserve"> FORMTEXT </w:instrText>
      </w:r>
      <w:r w:rsidRPr="00E379FB">
        <w:rPr>
          <w:rFonts w:ascii="Arial" w:eastAsia="Times New Roman" w:hAnsi="Arial" w:cs="Arial"/>
          <w:kern w:val="32"/>
          <w:sz w:val="20"/>
          <w:lang w:val="en-AU"/>
        </w:rPr>
      </w:r>
      <w:r w:rsidRPr="00E379FB">
        <w:rPr>
          <w:rFonts w:ascii="Arial" w:eastAsia="Times New Roman" w:hAnsi="Arial" w:cs="Arial"/>
          <w:kern w:val="32"/>
          <w:sz w:val="20"/>
          <w:lang w:val="en-AU"/>
        </w:rPr>
        <w:fldChar w:fldCharType="separate"/>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fldChar w:fldCharType="end"/>
      </w:r>
    </w:p>
    <w:p w:rsidR="007B1304" w:rsidRDefault="007B1304" w:rsidP="007B1304">
      <w:pPr>
        <w:pStyle w:val="style1"/>
        <w:pBdr>
          <w:bottom w:val="single" w:sz="4" w:space="1" w:color="auto"/>
        </w:pBdr>
        <w:spacing w:line="264" w:lineRule="auto"/>
        <w:rPr>
          <w:rFonts w:ascii="Arial" w:hAnsi="Arial"/>
          <w:b/>
          <w:sz w:val="20"/>
        </w:rPr>
      </w:pPr>
    </w:p>
    <w:p w:rsidR="008835EB" w:rsidRPr="007B1304" w:rsidRDefault="008835EB" w:rsidP="007B1304">
      <w:pPr>
        <w:pStyle w:val="style1"/>
        <w:keepNext/>
        <w:spacing w:before="360" w:after="120" w:line="264" w:lineRule="auto"/>
        <w:rPr>
          <w:rFonts w:ascii="Arial" w:hAnsi="Arial"/>
          <w:sz w:val="24"/>
        </w:rPr>
      </w:pPr>
      <w:r w:rsidRPr="007B1304">
        <w:rPr>
          <w:rFonts w:ascii="Arial" w:hAnsi="Arial"/>
          <w:sz w:val="24"/>
        </w:rPr>
        <w:t>Interpretation of Disorderly</w:t>
      </w:r>
    </w:p>
    <w:p w:rsidR="005D69E6"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What are your views about the discretion provided to police to determine whether behaviour is disorderly?</w:t>
      </w:r>
    </w:p>
    <w:bookmarkStart w:id="0" w:name="Text1"/>
    <w:p w:rsidR="007B1304" w:rsidRPr="00E379FB" w:rsidRDefault="007B1304"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E379FB">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Pr="00E379FB">
        <w:rPr>
          <w:rFonts w:ascii="Arial" w:eastAsia="Times New Roman" w:hAnsi="Arial" w:cs="Arial"/>
          <w:bCs/>
          <w:sz w:val="20"/>
          <w:szCs w:val="22"/>
        </w:rPr>
        <w:instrText xml:space="preserve"> FORMTEXT </w:instrText>
      </w:r>
      <w:r w:rsidRPr="00E379FB">
        <w:rPr>
          <w:rFonts w:ascii="Arial" w:eastAsia="Times New Roman" w:hAnsi="Arial" w:cs="Arial"/>
          <w:bCs/>
          <w:sz w:val="20"/>
          <w:szCs w:val="22"/>
        </w:rPr>
      </w:r>
      <w:r w:rsidRPr="00E379FB">
        <w:rPr>
          <w:rFonts w:ascii="Arial" w:eastAsia="Times New Roman" w:hAnsi="Arial" w:cs="Arial"/>
          <w:bCs/>
          <w:sz w:val="20"/>
          <w:szCs w:val="22"/>
        </w:rPr>
        <w:fldChar w:fldCharType="separate"/>
      </w:r>
      <w:r w:rsidRPr="00E379FB">
        <w:rPr>
          <w:rFonts w:ascii="Arial" w:eastAsia="Times New Roman" w:hAnsi="Arial" w:cs="Arial"/>
          <w:bCs/>
          <w:sz w:val="20"/>
          <w:szCs w:val="22"/>
        </w:rPr>
        <w:t>Type your response here</w:t>
      </w:r>
      <w:r w:rsidRPr="00E379FB">
        <w:rPr>
          <w:rFonts w:ascii="Arial" w:eastAsia="Times New Roman" w:hAnsi="Arial" w:cs="Arial"/>
          <w:bCs/>
          <w:sz w:val="20"/>
          <w:szCs w:val="22"/>
        </w:rPr>
        <w:fldChar w:fldCharType="end"/>
      </w:r>
    </w:p>
    <w:bookmarkEnd w:id="0"/>
    <w:p w:rsidR="008835EB" w:rsidRPr="001E4261" w:rsidRDefault="008835EB" w:rsidP="007B1304">
      <w:pPr>
        <w:pStyle w:val="style1"/>
        <w:keepNext/>
        <w:numPr>
          <w:ilvl w:val="0"/>
          <w:numId w:val="11"/>
        </w:numPr>
        <w:spacing w:after="120" w:line="264" w:lineRule="auto"/>
        <w:ind w:left="714" w:hanging="357"/>
        <w:rPr>
          <w:rFonts w:ascii="Swis721 Lt BT" w:eastAsia="Times New Roman" w:hAnsi="Swis721 Lt BT"/>
          <w:bCs w:val="0"/>
        </w:rPr>
      </w:pPr>
      <w:r w:rsidRPr="007B1304">
        <w:rPr>
          <w:rFonts w:ascii="Arial" w:hAnsi="Arial"/>
          <w:sz w:val="20"/>
        </w:rPr>
        <w:t>Which matters should police take into consideration in determining whether behaviour is disorderly?</w:t>
      </w:r>
    </w:p>
    <w:p w:rsidR="007B1304" w:rsidRPr="00E379FB" w:rsidRDefault="007B1304"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E379FB">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Pr="00E379FB">
        <w:rPr>
          <w:rFonts w:ascii="Arial" w:eastAsia="Times New Roman" w:hAnsi="Arial" w:cs="Arial"/>
          <w:bCs/>
          <w:sz w:val="20"/>
          <w:szCs w:val="22"/>
        </w:rPr>
        <w:instrText xml:space="preserve"> FORMTEXT </w:instrText>
      </w:r>
      <w:r w:rsidRPr="00E379FB">
        <w:rPr>
          <w:rFonts w:ascii="Arial" w:eastAsia="Times New Roman" w:hAnsi="Arial" w:cs="Arial"/>
          <w:bCs/>
          <w:sz w:val="20"/>
          <w:szCs w:val="22"/>
        </w:rPr>
      </w:r>
      <w:r w:rsidRPr="00E379FB">
        <w:rPr>
          <w:rFonts w:ascii="Arial" w:eastAsia="Times New Roman" w:hAnsi="Arial" w:cs="Arial"/>
          <w:bCs/>
          <w:sz w:val="20"/>
          <w:szCs w:val="22"/>
        </w:rPr>
        <w:fldChar w:fldCharType="separate"/>
      </w:r>
      <w:r w:rsidRPr="00E379FB">
        <w:rPr>
          <w:rFonts w:ascii="Arial" w:eastAsia="Times New Roman" w:hAnsi="Arial" w:cs="Arial"/>
          <w:bCs/>
          <w:sz w:val="20"/>
          <w:szCs w:val="22"/>
        </w:rPr>
        <w:t>Type your response here</w:t>
      </w:r>
      <w:r w:rsidRPr="00E379FB">
        <w:rPr>
          <w:rFonts w:ascii="Arial" w:eastAsia="Times New Roman" w:hAnsi="Arial" w:cs="Arial"/>
          <w:bCs/>
          <w:sz w:val="20"/>
          <w:szCs w:val="22"/>
        </w:rPr>
        <w:fldChar w:fldCharType="end"/>
      </w:r>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Should there be a requirement that a member of the public needs to be present at the scene or affected by the behaviour to allow police to give a direction to move a person on under s.198 of the LEPRA?</w:t>
      </w:r>
    </w:p>
    <w:p w:rsidR="007B1304" w:rsidRPr="00E379FB" w:rsidRDefault="007B1304"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E379FB">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Pr="00E379FB">
        <w:rPr>
          <w:rFonts w:ascii="Arial" w:eastAsia="Times New Roman" w:hAnsi="Arial" w:cs="Arial"/>
          <w:bCs/>
          <w:sz w:val="20"/>
          <w:szCs w:val="22"/>
        </w:rPr>
        <w:instrText xml:space="preserve"> FORMTEXT </w:instrText>
      </w:r>
      <w:r w:rsidRPr="00E379FB">
        <w:rPr>
          <w:rFonts w:ascii="Arial" w:eastAsia="Times New Roman" w:hAnsi="Arial" w:cs="Arial"/>
          <w:bCs/>
          <w:sz w:val="20"/>
          <w:szCs w:val="22"/>
        </w:rPr>
      </w:r>
      <w:r w:rsidRPr="00E379FB">
        <w:rPr>
          <w:rFonts w:ascii="Arial" w:eastAsia="Times New Roman" w:hAnsi="Arial" w:cs="Arial"/>
          <w:bCs/>
          <w:sz w:val="20"/>
          <w:szCs w:val="22"/>
        </w:rPr>
        <w:fldChar w:fldCharType="separate"/>
      </w:r>
      <w:r w:rsidRPr="00E379FB">
        <w:rPr>
          <w:rFonts w:ascii="Arial" w:eastAsia="Times New Roman" w:hAnsi="Arial" w:cs="Arial"/>
          <w:bCs/>
          <w:sz w:val="20"/>
          <w:szCs w:val="22"/>
        </w:rPr>
        <w:t>Type your response here</w:t>
      </w:r>
      <w:r w:rsidRPr="00E379FB">
        <w:rPr>
          <w:rFonts w:ascii="Arial" w:eastAsia="Times New Roman" w:hAnsi="Arial" w:cs="Arial"/>
          <w:bCs/>
          <w:sz w:val="20"/>
          <w:szCs w:val="22"/>
        </w:rPr>
        <w:fldChar w:fldCharType="end"/>
      </w:r>
    </w:p>
    <w:p w:rsidR="008835EB" w:rsidRPr="007B1304" w:rsidRDefault="008835EB" w:rsidP="007B1304">
      <w:pPr>
        <w:pStyle w:val="style1"/>
        <w:keepNext/>
        <w:spacing w:before="360" w:after="120" w:line="264" w:lineRule="auto"/>
        <w:rPr>
          <w:rFonts w:ascii="Arial" w:hAnsi="Arial"/>
          <w:sz w:val="24"/>
        </w:rPr>
      </w:pPr>
      <w:r w:rsidRPr="007B1304">
        <w:rPr>
          <w:rFonts w:ascii="Arial" w:hAnsi="Arial"/>
          <w:sz w:val="24"/>
        </w:rPr>
        <w:t>Information and Warnings</w:t>
      </w:r>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 xml:space="preserve">In your view, are the safeguards relating to the information and warnings to be provided by police adequate. If not, how should they be amended? Do you think the requirement for police to give warnings under both 201(2C) and 201(2D) </w:t>
      </w:r>
      <w:r w:rsidR="00E346D0" w:rsidRPr="007B1304">
        <w:rPr>
          <w:rFonts w:ascii="Arial" w:hAnsi="Arial"/>
          <w:sz w:val="20"/>
        </w:rPr>
        <w:t xml:space="preserve">of </w:t>
      </w:r>
      <w:r w:rsidRPr="007B1304">
        <w:rPr>
          <w:rFonts w:ascii="Arial" w:hAnsi="Arial"/>
          <w:sz w:val="20"/>
        </w:rPr>
        <w:t>the LEPRA should be simplified?</w:t>
      </w:r>
    </w:p>
    <w:bookmarkStart w:id="1" w:name="Text2"/>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2"/>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1"/>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We are interested to receive details of any incidents that illustrate the effectiveness or otherwise of the safeguards relating to information and warnings.</w:t>
      </w:r>
    </w:p>
    <w:bookmarkStart w:id="2" w:name="Text3"/>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3"/>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2"/>
    </w:p>
    <w:p w:rsidR="008835EB" w:rsidRPr="007B1304" w:rsidRDefault="008835EB" w:rsidP="007B1304">
      <w:pPr>
        <w:pStyle w:val="style1"/>
        <w:keepNext/>
        <w:spacing w:before="360" w:after="120" w:line="264" w:lineRule="auto"/>
        <w:rPr>
          <w:rFonts w:ascii="Arial" w:hAnsi="Arial"/>
          <w:sz w:val="24"/>
        </w:rPr>
      </w:pPr>
      <w:r w:rsidRPr="007B1304">
        <w:rPr>
          <w:rFonts w:ascii="Arial" w:hAnsi="Arial"/>
          <w:sz w:val="24"/>
        </w:rPr>
        <w:lastRenderedPageBreak/>
        <w:t>Move on directions must be reasonable</w:t>
      </w:r>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In your view, what matters should police take into consideration in determining whether a move on direction is reasonable in the circumstances?</w:t>
      </w:r>
    </w:p>
    <w:bookmarkStart w:id="3" w:name="Text4"/>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4"/>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3"/>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Are there any impediments, such as a lack of public transport that may impede police in your community from using the move on powers effectively?</w:t>
      </w:r>
    </w:p>
    <w:bookmarkStart w:id="4" w:name="Text5"/>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5"/>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4"/>
    </w:p>
    <w:p w:rsidR="00EC6BF2"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We are interested to receive details of any incidents that illustrate move on directions by police that were reasonable or unreasonable in the circumstances.</w:t>
      </w:r>
    </w:p>
    <w:bookmarkStart w:id="5" w:name="Text6"/>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6"/>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5"/>
    </w:p>
    <w:p w:rsidR="008835EB" w:rsidRPr="007B1304" w:rsidRDefault="008835EB" w:rsidP="007B1304">
      <w:pPr>
        <w:pStyle w:val="style1"/>
        <w:keepNext/>
        <w:spacing w:before="360" w:after="120" w:line="264" w:lineRule="auto"/>
        <w:rPr>
          <w:rFonts w:ascii="Arial" w:hAnsi="Arial"/>
          <w:sz w:val="24"/>
        </w:rPr>
      </w:pPr>
      <w:r w:rsidRPr="007B1304">
        <w:rPr>
          <w:rFonts w:ascii="Arial" w:hAnsi="Arial"/>
          <w:sz w:val="24"/>
        </w:rPr>
        <w:t>Police discretion relating to offences</w:t>
      </w:r>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Should the legislation be amended so that the offences under s.199(1) of the LEPRA and s.9 of the SO Act are made mutually exclusive?</w:t>
      </w:r>
    </w:p>
    <w:bookmarkStart w:id="6" w:name="Text7"/>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7"/>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6"/>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If not, what matters should police take into consideration when deciding whether to proceed under s.199(1) of the LEPRA or s.9 of the SO Act?</w:t>
      </w:r>
    </w:p>
    <w:bookmarkStart w:id="7" w:name="Text8"/>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8"/>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7"/>
    </w:p>
    <w:p w:rsidR="008835EB" w:rsidRPr="007B1304" w:rsidRDefault="001F68DF"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In what circumstances, if any,</w:t>
      </w:r>
      <w:r w:rsidR="008835EB" w:rsidRPr="007B1304">
        <w:rPr>
          <w:rFonts w:ascii="Arial" w:hAnsi="Arial"/>
          <w:sz w:val="20"/>
        </w:rPr>
        <w:t xml:space="preserve"> should police use their discretion not to take proceedings? (ie, to ‘walk away’).</w:t>
      </w:r>
    </w:p>
    <w:bookmarkStart w:id="8" w:name="Text9"/>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9"/>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8"/>
    </w:p>
    <w:p w:rsidR="008835EB" w:rsidRPr="007B1304" w:rsidRDefault="007B1304" w:rsidP="007B1304">
      <w:pPr>
        <w:pStyle w:val="style1"/>
        <w:keepNext/>
        <w:spacing w:before="360" w:after="120" w:line="264" w:lineRule="auto"/>
        <w:rPr>
          <w:rFonts w:ascii="Arial" w:hAnsi="Arial"/>
          <w:sz w:val="24"/>
        </w:rPr>
      </w:pPr>
      <w:r>
        <w:rPr>
          <w:rFonts w:ascii="Arial" w:hAnsi="Arial"/>
          <w:sz w:val="24"/>
        </w:rPr>
        <w:t>Interpretation of s</w:t>
      </w:r>
      <w:r w:rsidR="008835EB" w:rsidRPr="007B1304">
        <w:rPr>
          <w:rFonts w:ascii="Arial" w:hAnsi="Arial"/>
          <w:sz w:val="24"/>
        </w:rPr>
        <w:t>.9</w:t>
      </w:r>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In your view, should the definition of a move on direction under s.9 of the SO Act be amended to put beyond doubt that it includes directions under s.198(1)(a) and (b) of the LEPRA? If so, how should it be amended?</w:t>
      </w:r>
    </w:p>
    <w:bookmarkStart w:id="9" w:name="Text10"/>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10"/>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9"/>
    </w:p>
    <w:p w:rsidR="008835EB" w:rsidRPr="007B1304" w:rsidRDefault="008835EB" w:rsidP="007B1304">
      <w:pPr>
        <w:pStyle w:val="style1"/>
        <w:keepNext/>
        <w:spacing w:before="360" w:after="120" w:line="264" w:lineRule="auto"/>
        <w:rPr>
          <w:rFonts w:ascii="Arial" w:hAnsi="Arial"/>
          <w:sz w:val="24"/>
        </w:rPr>
      </w:pPr>
      <w:r w:rsidRPr="007B1304">
        <w:rPr>
          <w:rFonts w:ascii="Arial" w:hAnsi="Arial"/>
          <w:sz w:val="24"/>
        </w:rPr>
        <w:t>Reasonable Excuse</w:t>
      </w:r>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 xml:space="preserve">In your view, what factors </w:t>
      </w:r>
      <w:r w:rsidR="00E346D0" w:rsidRPr="007B1304">
        <w:rPr>
          <w:rFonts w:ascii="Arial" w:hAnsi="Arial"/>
          <w:sz w:val="20"/>
        </w:rPr>
        <w:t xml:space="preserve">should </w:t>
      </w:r>
      <w:r w:rsidRPr="007B1304">
        <w:rPr>
          <w:rFonts w:ascii="Arial" w:hAnsi="Arial"/>
          <w:sz w:val="20"/>
        </w:rPr>
        <w:t>police consider in assessing whether a person may have a reasonable excuse for behaving in a manner that appears to be a result of intoxication, but is not?</w:t>
      </w:r>
    </w:p>
    <w:bookmarkStart w:id="10" w:name="Text11"/>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11"/>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10"/>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Should the NSW Police Force develop guidelines to assist police in respect of this issue?</w:t>
      </w:r>
    </w:p>
    <w:bookmarkStart w:id="11" w:name="Text12"/>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12"/>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11"/>
    </w:p>
    <w:p w:rsidR="008835EB" w:rsidRPr="007B1304" w:rsidRDefault="008835EB" w:rsidP="007B1304">
      <w:pPr>
        <w:pStyle w:val="style1"/>
        <w:keepNext/>
        <w:spacing w:before="360" w:after="120" w:line="264" w:lineRule="auto"/>
        <w:rPr>
          <w:rFonts w:ascii="Arial" w:hAnsi="Arial"/>
          <w:sz w:val="24"/>
        </w:rPr>
      </w:pPr>
      <w:r w:rsidRPr="007B1304">
        <w:rPr>
          <w:rFonts w:ascii="Arial" w:hAnsi="Arial"/>
          <w:sz w:val="24"/>
        </w:rPr>
        <w:t>Impact on Aboriginal communities</w:t>
      </w:r>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What have been the most common circumstances in which Aboriginal people in your community have been subjected to the new powe</w:t>
      </w:r>
      <w:r w:rsidR="00E346D0" w:rsidRPr="007B1304">
        <w:rPr>
          <w:rFonts w:ascii="Arial" w:hAnsi="Arial"/>
          <w:sz w:val="20"/>
        </w:rPr>
        <w:t>rs? Please include the location.</w:t>
      </w:r>
      <w:r w:rsidRPr="007B1304">
        <w:rPr>
          <w:rFonts w:ascii="Arial" w:hAnsi="Arial"/>
          <w:sz w:val="20"/>
        </w:rPr>
        <w:t xml:space="preserve"> </w:t>
      </w:r>
    </w:p>
    <w:bookmarkStart w:id="12" w:name="Text13"/>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13"/>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12"/>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lastRenderedPageBreak/>
        <w:t>How has the implementation of the new provisions impacted on the relationship between local police and your Aboriginal community?</w:t>
      </w:r>
    </w:p>
    <w:bookmarkStart w:id="13" w:name="Text14"/>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14"/>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13"/>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 xml:space="preserve">Have there been any strategies, other than the use of move on directions, in your community involving police and Aboriginal people working together to address alcohol related crime? If yes, please provide details. </w:t>
      </w:r>
    </w:p>
    <w:bookmarkStart w:id="14" w:name="Text15"/>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15"/>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14"/>
    </w:p>
    <w:p w:rsidR="008835EB" w:rsidRPr="007B1304" w:rsidRDefault="00B45514" w:rsidP="007B1304">
      <w:pPr>
        <w:pStyle w:val="style1"/>
        <w:keepNext/>
        <w:spacing w:before="360" w:after="120" w:line="264" w:lineRule="auto"/>
        <w:rPr>
          <w:rFonts w:ascii="Arial" w:hAnsi="Arial"/>
          <w:sz w:val="24"/>
        </w:rPr>
      </w:pPr>
      <w:r w:rsidRPr="007B1304">
        <w:rPr>
          <w:rFonts w:ascii="Arial" w:hAnsi="Arial"/>
          <w:sz w:val="24"/>
        </w:rPr>
        <w:t xml:space="preserve">Impact on </w:t>
      </w:r>
      <w:r w:rsidR="008835EB" w:rsidRPr="007B1304">
        <w:rPr>
          <w:rFonts w:ascii="Arial" w:hAnsi="Arial"/>
          <w:sz w:val="24"/>
        </w:rPr>
        <w:t>Vulnerable Groups</w:t>
      </w:r>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What is your view about the potential impact on vulnerable groups of the introduction of this legislation?</w:t>
      </w:r>
    </w:p>
    <w:bookmarkStart w:id="15" w:name="Text16"/>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16"/>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15"/>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Should the legislation be amended to include further safeguards to protect vulnerable people? If so, how?</w:t>
      </w:r>
    </w:p>
    <w:bookmarkStart w:id="16" w:name="Text17"/>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17"/>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16"/>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 xml:space="preserve">Do you know about any occasions involving a vulnerable person being subject </w:t>
      </w:r>
      <w:r w:rsidR="00E346D0" w:rsidRPr="007B1304">
        <w:rPr>
          <w:rFonts w:ascii="Arial" w:hAnsi="Arial"/>
          <w:sz w:val="20"/>
        </w:rPr>
        <w:t>t</w:t>
      </w:r>
      <w:r w:rsidRPr="007B1304">
        <w:rPr>
          <w:rFonts w:ascii="Arial" w:hAnsi="Arial"/>
          <w:sz w:val="20"/>
        </w:rPr>
        <w:t>o a move on direction for intoxicated and disorderly behaviour, or a s.9 of the SO Act offence? If so, please outline the circumstances and the outcome of the incident.</w:t>
      </w:r>
    </w:p>
    <w:bookmarkStart w:id="17" w:name="Text18"/>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18"/>
            <w:enabled/>
            <w:calcOnExit w:val="0"/>
            <w:textInput>
              <w:default w:val="Type your response here"/>
            </w:textInput>
          </w:ffData>
        </w:fldChar>
      </w:r>
      <w:r w:rsidR="00CB2EBA"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CB2EBA"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17"/>
    </w:p>
    <w:p w:rsidR="008835EB" w:rsidRPr="007B1304" w:rsidRDefault="008835EB" w:rsidP="007B1304">
      <w:pPr>
        <w:pStyle w:val="style1"/>
        <w:keepNext/>
        <w:spacing w:before="360" w:after="120" w:line="264" w:lineRule="auto"/>
        <w:rPr>
          <w:rFonts w:ascii="Arial" w:hAnsi="Arial"/>
          <w:sz w:val="24"/>
        </w:rPr>
      </w:pPr>
      <w:r w:rsidRPr="007B1304">
        <w:rPr>
          <w:rFonts w:ascii="Arial" w:hAnsi="Arial"/>
          <w:sz w:val="24"/>
        </w:rPr>
        <w:t>Custody and police discretion</w:t>
      </w:r>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What is your view about how police should use their discretion either to detain the person under s.206 of the LEPRA, or to take proceedings under s.9 of the SO Act?</w:t>
      </w:r>
    </w:p>
    <w:bookmarkStart w:id="18" w:name="Text19"/>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19"/>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18"/>
    </w:p>
    <w:p w:rsidR="008835EB" w:rsidRPr="007B1304" w:rsidRDefault="008835EB" w:rsidP="007B1304">
      <w:pPr>
        <w:pStyle w:val="style1"/>
        <w:keepNext/>
        <w:spacing w:before="360" w:after="120" w:line="264" w:lineRule="auto"/>
        <w:rPr>
          <w:rFonts w:ascii="Arial" w:hAnsi="Arial"/>
          <w:sz w:val="24"/>
        </w:rPr>
      </w:pPr>
      <w:r w:rsidRPr="007B1304">
        <w:rPr>
          <w:rFonts w:ascii="Arial" w:hAnsi="Arial"/>
          <w:sz w:val="24"/>
        </w:rPr>
        <w:t>Detention under s.206 of the LEPRA</w:t>
      </w:r>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In your view what impact, if any, will the legislation have on the number of intoxicated people in police custody?</w:t>
      </w:r>
    </w:p>
    <w:bookmarkStart w:id="19" w:name="Text20"/>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20"/>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19"/>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Do you believe ‘sobering up’ centres would be a useful option for police to have in dealing with seriously intoxicated people who are disorderly? (Please give reasons for your answer)</w:t>
      </w:r>
    </w:p>
    <w:bookmarkStart w:id="20" w:name="Text21"/>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21"/>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20"/>
    </w:p>
    <w:p w:rsidR="00A1446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In your view, what obstacles may there be to setting up effective ‘sobering up’ centres?</w:t>
      </w:r>
    </w:p>
    <w:bookmarkStart w:id="21" w:name="Text22"/>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22"/>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21"/>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If a police officer decides to detain a person who is intoxicated and disorderly, what matters should police consider in exercising discretion about whether the person is detained under s.206 or under s.99 of the LEPRA?</w:t>
      </w:r>
    </w:p>
    <w:bookmarkStart w:id="22" w:name="Text23"/>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23"/>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22"/>
    </w:p>
    <w:p w:rsidR="008835EB" w:rsidRPr="007B1304" w:rsidRDefault="008835EB" w:rsidP="007B1304">
      <w:pPr>
        <w:pStyle w:val="style1"/>
        <w:keepNext/>
        <w:spacing w:before="360" w:after="120" w:line="264" w:lineRule="auto"/>
        <w:rPr>
          <w:rFonts w:ascii="Arial" w:hAnsi="Arial"/>
          <w:sz w:val="24"/>
        </w:rPr>
      </w:pPr>
      <w:r w:rsidRPr="007B1304">
        <w:rPr>
          <w:rFonts w:ascii="Arial" w:hAnsi="Arial"/>
          <w:sz w:val="24"/>
        </w:rPr>
        <w:lastRenderedPageBreak/>
        <w:t>Penalty notices</w:t>
      </w:r>
    </w:p>
    <w:p w:rsidR="008835EB" w:rsidRPr="007B1304" w:rsidRDefault="008835EB" w:rsidP="007B1304">
      <w:pPr>
        <w:pStyle w:val="style1"/>
        <w:keepNext/>
        <w:numPr>
          <w:ilvl w:val="0"/>
          <w:numId w:val="11"/>
        </w:numPr>
        <w:spacing w:after="120" w:line="264" w:lineRule="auto"/>
        <w:ind w:left="714" w:hanging="357"/>
        <w:rPr>
          <w:rFonts w:ascii="Arial" w:hAnsi="Arial"/>
          <w:sz w:val="20"/>
        </w:rPr>
      </w:pPr>
      <w:r w:rsidRPr="007B1304">
        <w:rPr>
          <w:rFonts w:ascii="Arial" w:hAnsi="Arial"/>
          <w:sz w:val="20"/>
        </w:rPr>
        <w:t>In your view, should the NSW Police Force be exempt from the operation of s.24(2) of the Fines Act? If so, should the NSW Police Force develop guidelines that ensure penalty notices are reviewed consistent with these provisions?</w:t>
      </w:r>
    </w:p>
    <w:bookmarkStart w:id="23" w:name="Text24"/>
    <w:p w:rsidR="00EC6BF2"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24"/>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23"/>
    </w:p>
    <w:p w:rsidR="00B1673C" w:rsidRPr="007B1304" w:rsidRDefault="00B1673C" w:rsidP="007B1304">
      <w:pPr>
        <w:pStyle w:val="style1"/>
        <w:keepNext/>
        <w:spacing w:before="360" w:after="120" w:line="264" w:lineRule="auto"/>
        <w:rPr>
          <w:rFonts w:ascii="Arial" w:hAnsi="Arial"/>
          <w:sz w:val="24"/>
        </w:rPr>
      </w:pPr>
      <w:r w:rsidRPr="007B1304">
        <w:rPr>
          <w:rFonts w:ascii="Arial" w:hAnsi="Arial"/>
          <w:sz w:val="24"/>
        </w:rPr>
        <w:t>Other comments/additional information</w:t>
      </w:r>
    </w:p>
    <w:bookmarkStart w:id="24" w:name="Text25"/>
    <w:p w:rsidR="00B1673C" w:rsidRPr="007B1304" w:rsidRDefault="00006892"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25"/>
            <w:enabled/>
            <w:calcOnExit w:val="0"/>
            <w:textInput>
              <w:default w:val="Type any additional comments/suggestions in relation to the new legislation here"/>
            </w:textInput>
          </w:ffData>
        </w:fldChar>
      </w:r>
      <w:r w:rsidR="00B1673C"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B1673C" w:rsidRPr="007B1304">
        <w:rPr>
          <w:rFonts w:ascii="Arial" w:eastAsia="Times New Roman" w:hAnsi="Arial" w:cs="Arial"/>
          <w:bCs/>
          <w:sz w:val="20"/>
          <w:szCs w:val="22"/>
        </w:rPr>
        <w:t>Type any additional comments/suggestions in relation to the new legislation here</w:t>
      </w:r>
      <w:r w:rsidRPr="007B1304">
        <w:rPr>
          <w:rFonts w:ascii="Arial" w:eastAsia="Times New Roman" w:hAnsi="Arial" w:cs="Arial"/>
          <w:bCs/>
          <w:sz w:val="20"/>
          <w:szCs w:val="22"/>
        </w:rPr>
        <w:fldChar w:fldCharType="end"/>
      </w:r>
      <w:bookmarkEnd w:id="24"/>
    </w:p>
    <w:p w:rsidR="007B1304" w:rsidRDefault="007B1304" w:rsidP="00B45514">
      <w:pPr>
        <w:rPr>
          <w:rFonts w:cs="Times New Roman"/>
          <w:szCs w:val="22"/>
        </w:rPr>
      </w:pPr>
    </w:p>
    <w:p w:rsidR="007B1304" w:rsidRPr="006C4242" w:rsidRDefault="007B1304" w:rsidP="007B1304">
      <w:pPr>
        <w:keepNext/>
        <w:spacing w:before="360" w:after="120" w:line="264" w:lineRule="auto"/>
        <w:rPr>
          <w:rFonts w:ascii="Arial" w:eastAsiaTheme="minorHAnsi" w:hAnsi="Arial"/>
          <w:sz w:val="24"/>
          <w:szCs w:val="22"/>
        </w:rPr>
      </w:pPr>
      <w:r w:rsidRPr="006C4242">
        <w:rPr>
          <w:rFonts w:ascii="Arial" w:eastAsiaTheme="minorHAnsi" w:hAnsi="Arial"/>
          <w:sz w:val="24"/>
          <w:szCs w:val="22"/>
        </w:rPr>
        <w:t>When completed, your submission may be sent:</w:t>
      </w:r>
    </w:p>
    <w:p w:rsidR="007B1304" w:rsidRPr="00E379FB" w:rsidRDefault="007B1304" w:rsidP="007B1304">
      <w:pPr>
        <w:pStyle w:val="style1"/>
        <w:tabs>
          <w:tab w:val="left" w:pos="1134"/>
        </w:tabs>
        <w:spacing w:after="120" w:line="264" w:lineRule="auto"/>
        <w:ind w:left="1134" w:hanging="1134"/>
        <w:rPr>
          <w:rFonts w:ascii="Arial" w:hAnsi="Arial"/>
          <w:sz w:val="20"/>
        </w:rPr>
      </w:pPr>
      <w:r w:rsidRPr="00E379FB">
        <w:rPr>
          <w:rFonts w:ascii="Arial" w:hAnsi="Arial"/>
          <w:sz w:val="20"/>
        </w:rPr>
        <w:t>By email:</w:t>
      </w:r>
      <w:r>
        <w:rPr>
          <w:rFonts w:ascii="Arial" w:hAnsi="Arial"/>
          <w:sz w:val="20"/>
        </w:rPr>
        <w:tab/>
      </w:r>
      <w:hyperlink r:id="rId8" w:history="1">
        <w:r w:rsidRPr="00E379FB">
          <w:rPr>
            <w:rFonts w:ascii="Arial" w:hAnsi="Arial"/>
            <w:sz w:val="20"/>
          </w:rPr>
          <w:t>review@ombo.nsw.gov.au</w:t>
        </w:r>
      </w:hyperlink>
      <w:r w:rsidRPr="00E379FB">
        <w:rPr>
          <w:rFonts w:ascii="Arial" w:hAnsi="Arial"/>
          <w:sz w:val="20"/>
        </w:rPr>
        <w:t xml:space="preserve"> </w:t>
      </w:r>
      <w:r>
        <w:rPr>
          <w:rFonts w:ascii="Arial" w:hAnsi="Arial"/>
          <w:sz w:val="20"/>
        </w:rPr>
        <w:br/>
      </w:r>
      <w:r w:rsidRPr="00E379FB">
        <w:rPr>
          <w:rFonts w:ascii="Arial" w:hAnsi="Arial"/>
          <w:sz w:val="20"/>
        </w:rPr>
        <w:t xml:space="preserve">(please include </w:t>
      </w:r>
      <w:r w:rsidRPr="000769B8">
        <w:rPr>
          <w:rFonts w:ascii="Arial" w:hAnsi="Arial"/>
          <w:sz w:val="20"/>
        </w:rPr>
        <w:t>Summary Offences Amendment</w:t>
      </w:r>
      <w:r w:rsidRPr="000769B8">
        <w:rPr>
          <w:rFonts w:cs="Times New Roman"/>
        </w:rPr>
        <w:t xml:space="preserve"> </w:t>
      </w:r>
      <w:r w:rsidRPr="000769B8">
        <w:rPr>
          <w:rFonts w:ascii="Arial" w:hAnsi="Arial"/>
          <w:sz w:val="20"/>
        </w:rPr>
        <w:t>review</w:t>
      </w:r>
      <w:r w:rsidRPr="00E379FB">
        <w:rPr>
          <w:rFonts w:ascii="Arial" w:hAnsi="Arial"/>
          <w:sz w:val="20"/>
        </w:rPr>
        <w:t xml:space="preserve"> in the subject line).</w:t>
      </w:r>
    </w:p>
    <w:p w:rsidR="007B1304" w:rsidRPr="00E379FB" w:rsidRDefault="007B1304" w:rsidP="007B1304">
      <w:pPr>
        <w:pStyle w:val="style1"/>
        <w:tabs>
          <w:tab w:val="left" w:pos="1134"/>
        </w:tabs>
        <w:spacing w:after="120" w:line="264" w:lineRule="auto"/>
        <w:rPr>
          <w:rFonts w:ascii="Arial" w:hAnsi="Arial"/>
          <w:sz w:val="20"/>
        </w:rPr>
      </w:pPr>
      <w:r w:rsidRPr="00E379FB">
        <w:rPr>
          <w:rFonts w:ascii="Arial" w:hAnsi="Arial"/>
          <w:sz w:val="20"/>
        </w:rPr>
        <w:t>By Fax:</w:t>
      </w:r>
      <w:r w:rsidRPr="00E379FB">
        <w:rPr>
          <w:rFonts w:ascii="Arial" w:hAnsi="Arial"/>
          <w:sz w:val="20"/>
        </w:rPr>
        <w:tab/>
        <w:t>02</w:t>
      </w:r>
      <w:r w:rsidR="000769B8">
        <w:rPr>
          <w:rFonts w:ascii="Arial" w:hAnsi="Arial"/>
          <w:sz w:val="20"/>
        </w:rPr>
        <w:t xml:space="preserve"> </w:t>
      </w:r>
      <w:r w:rsidRPr="00E379FB">
        <w:rPr>
          <w:rFonts w:ascii="Arial" w:hAnsi="Arial"/>
          <w:sz w:val="20"/>
        </w:rPr>
        <w:t>9283 2911</w:t>
      </w:r>
    </w:p>
    <w:p w:rsidR="007B1304" w:rsidRPr="00E379FB" w:rsidRDefault="007B1304" w:rsidP="007B1304">
      <w:pPr>
        <w:pStyle w:val="style1"/>
        <w:tabs>
          <w:tab w:val="left" w:pos="1134"/>
        </w:tabs>
        <w:spacing w:line="264" w:lineRule="auto"/>
        <w:rPr>
          <w:rFonts w:ascii="Arial" w:eastAsia="Times New Roman" w:hAnsi="Arial"/>
          <w:sz w:val="20"/>
        </w:rPr>
      </w:pPr>
      <w:r w:rsidRPr="00E379FB">
        <w:rPr>
          <w:rFonts w:ascii="Arial" w:eastAsia="Times New Roman" w:hAnsi="Arial"/>
          <w:sz w:val="20"/>
        </w:rPr>
        <w:t>By mail:</w:t>
      </w:r>
      <w:r w:rsidRPr="00E379FB">
        <w:rPr>
          <w:rFonts w:ascii="Arial" w:eastAsia="Times New Roman" w:hAnsi="Arial"/>
          <w:sz w:val="20"/>
        </w:rPr>
        <w:tab/>
      </w:r>
      <w:r w:rsidR="000769B8" w:rsidRPr="000769B8">
        <w:rPr>
          <w:rFonts w:ascii="Arial" w:eastAsia="Times New Roman" w:hAnsi="Arial"/>
          <w:sz w:val="20"/>
        </w:rPr>
        <w:t>Summary Offences Amendment R</w:t>
      </w:r>
      <w:r w:rsidRPr="00E379FB">
        <w:rPr>
          <w:rFonts w:ascii="Arial" w:eastAsia="Times New Roman" w:hAnsi="Arial"/>
          <w:sz w:val="20"/>
        </w:rPr>
        <w:t>eview</w:t>
      </w:r>
    </w:p>
    <w:p w:rsidR="007B1304" w:rsidRPr="00E379FB" w:rsidRDefault="007B1304" w:rsidP="007B1304">
      <w:pPr>
        <w:pStyle w:val="style1"/>
        <w:tabs>
          <w:tab w:val="left" w:pos="1134"/>
        </w:tabs>
        <w:spacing w:line="264" w:lineRule="auto"/>
        <w:rPr>
          <w:rFonts w:ascii="Arial" w:eastAsia="Times New Roman" w:hAnsi="Arial"/>
          <w:sz w:val="20"/>
        </w:rPr>
      </w:pPr>
      <w:r>
        <w:rPr>
          <w:rFonts w:ascii="Arial" w:eastAsia="Times New Roman" w:hAnsi="Arial"/>
          <w:sz w:val="20"/>
        </w:rPr>
        <w:tab/>
      </w:r>
      <w:r w:rsidRPr="00E379FB">
        <w:rPr>
          <w:rFonts w:ascii="Arial" w:eastAsia="Times New Roman" w:hAnsi="Arial"/>
          <w:sz w:val="20"/>
        </w:rPr>
        <w:t>NSW Ombudsman</w:t>
      </w:r>
    </w:p>
    <w:p w:rsidR="007B1304" w:rsidRPr="00E379FB" w:rsidRDefault="007B1304" w:rsidP="007B1304">
      <w:pPr>
        <w:pStyle w:val="style1"/>
        <w:tabs>
          <w:tab w:val="left" w:pos="1134"/>
        </w:tabs>
        <w:spacing w:line="264" w:lineRule="auto"/>
        <w:rPr>
          <w:rFonts w:ascii="Arial" w:eastAsia="Times New Roman" w:hAnsi="Arial"/>
          <w:sz w:val="20"/>
        </w:rPr>
      </w:pPr>
      <w:r>
        <w:rPr>
          <w:rFonts w:ascii="Arial" w:eastAsia="Times New Roman" w:hAnsi="Arial"/>
          <w:sz w:val="20"/>
        </w:rPr>
        <w:tab/>
      </w:r>
      <w:r w:rsidRPr="00E379FB">
        <w:rPr>
          <w:rFonts w:ascii="Arial" w:eastAsia="Times New Roman" w:hAnsi="Arial"/>
          <w:sz w:val="20"/>
        </w:rPr>
        <w:t>Level 24, 580 George Street</w:t>
      </w:r>
    </w:p>
    <w:p w:rsidR="007B1304" w:rsidRPr="00E379FB" w:rsidRDefault="007B1304" w:rsidP="007B1304">
      <w:pPr>
        <w:pStyle w:val="style1"/>
        <w:tabs>
          <w:tab w:val="left" w:pos="1134"/>
        </w:tabs>
        <w:spacing w:line="264" w:lineRule="auto"/>
        <w:rPr>
          <w:rFonts w:ascii="Arial" w:eastAsia="Times New Roman" w:hAnsi="Arial"/>
          <w:sz w:val="20"/>
        </w:rPr>
      </w:pPr>
      <w:r>
        <w:rPr>
          <w:rFonts w:ascii="Arial" w:eastAsia="Times New Roman" w:hAnsi="Arial"/>
          <w:sz w:val="20"/>
        </w:rPr>
        <w:tab/>
      </w:r>
      <w:r w:rsidRPr="00E379FB">
        <w:rPr>
          <w:rFonts w:ascii="Arial" w:eastAsia="Times New Roman" w:hAnsi="Arial"/>
          <w:sz w:val="20"/>
        </w:rPr>
        <w:t>SYDNEY</w:t>
      </w:r>
      <w:r>
        <w:rPr>
          <w:rFonts w:ascii="Arial" w:eastAsia="Times New Roman" w:hAnsi="Arial"/>
          <w:sz w:val="20"/>
        </w:rPr>
        <w:t xml:space="preserve"> </w:t>
      </w:r>
      <w:r w:rsidRPr="00E379FB">
        <w:rPr>
          <w:rFonts w:ascii="Arial" w:eastAsia="Times New Roman" w:hAnsi="Arial"/>
          <w:sz w:val="20"/>
        </w:rPr>
        <w:t>NSW</w:t>
      </w:r>
      <w:r>
        <w:rPr>
          <w:rFonts w:ascii="Arial" w:eastAsia="Times New Roman" w:hAnsi="Arial"/>
          <w:sz w:val="20"/>
        </w:rPr>
        <w:t xml:space="preserve"> </w:t>
      </w:r>
      <w:r w:rsidRPr="00E379FB">
        <w:rPr>
          <w:rFonts w:ascii="Arial" w:eastAsia="Times New Roman" w:hAnsi="Arial"/>
          <w:sz w:val="20"/>
        </w:rPr>
        <w:t>2000</w:t>
      </w:r>
    </w:p>
    <w:p w:rsidR="007B1304" w:rsidRDefault="007B1304" w:rsidP="00B45514">
      <w:pPr>
        <w:rPr>
          <w:rFonts w:cs="Times New Roman"/>
          <w:szCs w:val="22"/>
        </w:rPr>
      </w:pPr>
    </w:p>
    <w:p w:rsidR="00B1673C" w:rsidRDefault="00B1673C" w:rsidP="001E4261">
      <w:pPr>
        <w:pStyle w:val="NoSpacing"/>
        <w:rPr>
          <w:rFonts w:ascii="Swis721 Lt BT" w:eastAsia="Times New Roman" w:hAnsi="Swis721 Lt BT" w:cs="Times New Roman"/>
          <w:bCs/>
          <w:lang w:val="en-AU"/>
        </w:rPr>
      </w:pPr>
    </w:p>
    <w:sectPr w:rsidR="00B1673C" w:rsidSect="0040278A">
      <w:headerReference w:type="default" r:id="rId9"/>
      <w:footerReference w:type="default" r:id="rId10"/>
      <w:pgSz w:w="11906" w:h="16838"/>
      <w:pgMar w:top="720" w:right="1416" w:bottom="568" w:left="1276" w:header="709"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3C" w:rsidRDefault="00B1673C" w:rsidP="00EC6BF2">
      <w:pPr>
        <w:spacing w:before="0"/>
      </w:pPr>
      <w:r>
        <w:separator/>
      </w:r>
    </w:p>
  </w:endnote>
  <w:endnote w:type="continuationSeparator" w:id="0">
    <w:p w:rsidR="00B1673C" w:rsidRDefault="00B1673C" w:rsidP="00EC6B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wis721 Lt BT">
    <w:altName w:val="Swis721 Lt BT"/>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wis721 BT">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3C" w:rsidRDefault="00B1673C">
    <w:pPr>
      <w:pStyle w:val="Footer"/>
      <w:jc w:val="right"/>
    </w:pPr>
  </w:p>
  <w:p w:rsidR="00B1673C" w:rsidRDefault="0040278A" w:rsidP="0040278A">
    <w:pPr>
      <w:tabs>
        <w:tab w:val="left" w:pos="8222"/>
        <w:tab w:val="right" w:pos="15593"/>
      </w:tabs>
      <w:spacing w:before="0"/>
      <w:rPr>
        <w:rFonts w:ascii="Arial" w:hAnsi="Arial"/>
        <w:sz w:val="16"/>
      </w:rPr>
    </w:pPr>
    <w:sdt>
      <w:sdtPr>
        <w:rPr>
          <w:rFonts w:ascii="Arial" w:hAnsi="Arial"/>
          <w:sz w:val="16"/>
        </w:rPr>
        <w:id w:val="15560103"/>
        <w:docPartObj>
          <w:docPartGallery w:val="Page Numbers (Top of Page)"/>
          <w:docPartUnique/>
        </w:docPartObj>
      </w:sdtPr>
      <w:sdtContent>
        <w:r>
          <w:rPr>
            <w:rFonts w:ascii="Arial" w:hAnsi="Arial"/>
            <w:sz w:val="16"/>
          </w:rPr>
          <w:t xml:space="preserve">Issues paper questions for consideration </w:t>
        </w:r>
        <w:r>
          <w:rPr>
            <w:rFonts w:ascii="Arial" w:hAnsi="Arial"/>
            <w:sz w:val="16"/>
          </w:rPr>
          <w:tab/>
        </w:r>
        <w:r w:rsidRPr="00B36855">
          <w:rPr>
            <w:rFonts w:ascii="Arial" w:hAnsi="Arial"/>
            <w:sz w:val="16"/>
          </w:rPr>
          <w:t xml:space="preserve">Page </w:t>
        </w:r>
        <w:r w:rsidRPr="00B36855">
          <w:rPr>
            <w:rFonts w:ascii="Arial" w:hAnsi="Arial"/>
            <w:b/>
            <w:sz w:val="16"/>
          </w:rPr>
          <w:fldChar w:fldCharType="begin"/>
        </w:r>
        <w:r w:rsidRPr="00B36855">
          <w:rPr>
            <w:rFonts w:ascii="Arial" w:hAnsi="Arial"/>
            <w:b/>
            <w:sz w:val="16"/>
          </w:rPr>
          <w:instrText xml:space="preserve"> PAGE </w:instrText>
        </w:r>
        <w:r w:rsidRPr="00B36855">
          <w:rPr>
            <w:rFonts w:ascii="Arial" w:hAnsi="Arial"/>
            <w:b/>
            <w:sz w:val="16"/>
          </w:rPr>
          <w:fldChar w:fldCharType="separate"/>
        </w:r>
        <w:r>
          <w:rPr>
            <w:rFonts w:ascii="Arial" w:hAnsi="Arial"/>
            <w:b/>
            <w:noProof/>
            <w:sz w:val="16"/>
          </w:rPr>
          <w:t>2</w:t>
        </w:r>
        <w:r w:rsidRPr="00B36855">
          <w:rPr>
            <w:rFonts w:ascii="Arial" w:hAnsi="Arial"/>
            <w:b/>
            <w:sz w:val="16"/>
          </w:rPr>
          <w:fldChar w:fldCharType="end"/>
        </w:r>
        <w:r w:rsidRPr="00B36855">
          <w:rPr>
            <w:rFonts w:ascii="Arial" w:hAnsi="Arial"/>
            <w:sz w:val="16"/>
          </w:rPr>
          <w:t xml:space="preserve"> </w:t>
        </w:r>
        <w:r>
          <w:rPr>
            <w:rFonts w:ascii="Arial" w:hAnsi="Arial"/>
            <w:sz w:val="16"/>
          </w:rPr>
          <w:t>|</w:t>
        </w:r>
        <w:r w:rsidRPr="00B36855">
          <w:rPr>
            <w:rFonts w:ascii="Arial" w:hAnsi="Arial"/>
            <w:sz w:val="16"/>
          </w:rPr>
          <w:t xml:space="preserve"> </w:t>
        </w:r>
        <w:r w:rsidRPr="00B36855">
          <w:rPr>
            <w:rFonts w:ascii="Arial" w:hAnsi="Arial"/>
            <w:sz w:val="16"/>
          </w:rPr>
          <w:fldChar w:fldCharType="begin"/>
        </w:r>
        <w:r w:rsidRPr="00B36855">
          <w:rPr>
            <w:rFonts w:ascii="Arial" w:hAnsi="Arial"/>
            <w:sz w:val="16"/>
          </w:rPr>
          <w:instrText xml:space="preserve"> NUMPAGES  </w:instrText>
        </w:r>
        <w:r w:rsidRPr="00B36855">
          <w:rPr>
            <w:rFonts w:ascii="Arial" w:hAnsi="Arial"/>
            <w:sz w:val="16"/>
          </w:rPr>
          <w:fldChar w:fldCharType="separate"/>
        </w:r>
        <w:r>
          <w:rPr>
            <w:rFonts w:ascii="Arial" w:hAnsi="Arial"/>
            <w:noProof/>
            <w:sz w:val="16"/>
          </w:rPr>
          <w:t>4</w:t>
        </w:r>
        <w:r w:rsidRPr="00B36855">
          <w:rPr>
            <w:rFonts w:ascii="Arial" w:hAnsi="Arial"/>
            <w:sz w:val="16"/>
          </w:rPr>
          <w:fldChar w:fldCharType="end"/>
        </w:r>
      </w:sdtContent>
    </w:sdt>
  </w:p>
  <w:p w:rsidR="0040278A" w:rsidRPr="0040278A" w:rsidRDefault="0040278A" w:rsidP="0040278A">
    <w:pPr>
      <w:tabs>
        <w:tab w:val="left" w:pos="8222"/>
        <w:tab w:val="right" w:pos="15593"/>
      </w:tabs>
      <w:spacing w:before="0"/>
      <w:rPr>
        <w:rFonts w:ascii="Arial" w:hAnsi="Arial"/>
        <w:sz w:val="16"/>
      </w:rPr>
    </w:pPr>
    <w:r w:rsidRPr="0040278A">
      <w:rPr>
        <w:rFonts w:ascii="Arial" w:hAnsi="Arial"/>
        <w:i/>
        <w:sz w:val="16"/>
      </w:rPr>
      <w:t>Summary Offences Act 1988</w:t>
    </w:r>
    <w:r w:rsidRPr="0040278A">
      <w:rPr>
        <w:rFonts w:ascii="Arial" w:hAnsi="Arial"/>
        <w:sz w:val="16"/>
      </w:rPr>
      <w:t xml:space="preserve"> Section 9</w:t>
    </w:r>
  </w:p>
  <w:p w:rsidR="0040278A" w:rsidRPr="0040278A" w:rsidRDefault="0040278A" w:rsidP="0040278A">
    <w:pPr>
      <w:tabs>
        <w:tab w:val="left" w:pos="8222"/>
        <w:tab w:val="right" w:pos="15593"/>
      </w:tabs>
      <w:spacing w:before="0"/>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3C" w:rsidRDefault="00B1673C" w:rsidP="00EC6BF2">
      <w:pPr>
        <w:spacing w:before="0"/>
      </w:pPr>
      <w:r>
        <w:separator/>
      </w:r>
    </w:p>
  </w:footnote>
  <w:footnote w:type="continuationSeparator" w:id="0">
    <w:p w:rsidR="00B1673C" w:rsidRDefault="00B1673C" w:rsidP="00EC6B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04" w:rsidRDefault="007B1304">
    <w:pPr>
      <w:pStyle w:val="Header"/>
    </w:pPr>
    <w:r w:rsidRPr="007B1304">
      <w:drawing>
        <wp:anchor distT="0" distB="0" distL="114300" distR="114300" simplePos="0" relativeHeight="251659264" behindDoc="0" locked="0" layoutInCell="1" allowOverlap="1">
          <wp:simplePos x="0" y="0"/>
          <wp:positionH relativeFrom="margin">
            <wp:posOffset>-191135</wp:posOffset>
          </wp:positionH>
          <wp:positionV relativeFrom="margin">
            <wp:posOffset>-974725</wp:posOffset>
          </wp:positionV>
          <wp:extent cx="1440180" cy="504825"/>
          <wp:effectExtent l="19050" t="0" r="7620" b="0"/>
          <wp:wrapSquare wrapText="bothSides"/>
          <wp:docPr id="1" name="Picture 0" descr="OmboLogo_PMS3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boLogo_PMS3145.jpg"/>
                  <pic:cNvPicPr/>
                </pic:nvPicPr>
                <pic:blipFill>
                  <a:blip r:embed="rId1"/>
                  <a:stretch>
                    <a:fillRect/>
                  </a:stretch>
                </pic:blipFill>
                <pic:spPr>
                  <a:xfrm>
                    <a:off x="0" y="0"/>
                    <a:ext cx="1440180" cy="504825"/>
                  </a:xfrm>
                  <a:prstGeom prst="rect">
                    <a:avLst/>
                  </a:prstGeom>
                </pic:spPr>
              </pic:pic>
            </a:graphicData>
          </a:graphic>
        </wp:anchor>
      </w:drawing>
    </w:r>
  </w:p>
  <w:p w:rsidR="007B1304" w:rsidRDefault="007B1304">
    <w:pPr>
      <w:pStyle w:val="Header"/>
    </w:pPr>
  </w:p>
  <w:p w:rsidR="0040278A" w:rsidRDefault="0040278A">
    <w:pPr>
      <w:pStyle w:val="Header"/>
    </w:pPr>
  </w:p>
  <w:p w:rsidR="0040278A" w:rsidRDefault="004027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28A"/>
    <w:multiLevelType w:val="hybridMultilevel"/>
    <w:tmpl w:val="924CD42C"/>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D109A6"/>
    <w:multiLevelType w:val="hybridMultilevel"/>
    <w:tmpl w:val="B5C61600"/>
    <w:lvl w:ilvl="0" w:tplc="A98AA77E">
      <w:start w:val="1"/>
      <w:numFmt w:val="decimal"/>
      <w:lvlText w:val="%1."/>
      <w:lvlJc w:val="left"/>
      <w:pPr>
        <w:tabs>
          <w:tab w:val="num" w:pos="454"/>
        </w:tabs>
        <w:ind w:left="454" w:hanging="454"/>
      </w:pPr>
      <w:rPr>
        <w:rFonts w:hint="default"/>
        <w:b w:val="0"/>
        <w:sz w:val="22"/>
        <w:szCs w:val="22"/>
      </w:rPr>
    </w:lvl>
    <w:lvl w:ilvl="1" w:tplc="0F80289A">
      <w:start w:val="1"/>
      <w:numFmt w:val="decimal"/>
      <w:lvlRestart w:val="0"/>
      <w:lvlText w:val="Figure %2."/>
      <w:lvlJc w:val="left"/>
      <w:pPr>
        <w:tabs>
          <w:tab w:val="num" w:pos="2157"/>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A63A8A"/>
    <w:multiLevelType w:val="hybridMultilevel"/>
    <w:tmpl w:val="E132BA5C"/>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
    <w:nsid w:val="278312EC"/>
    <w:multiLevelType w:val="hybridMultilevel"/>
    <w:tmpl w:val="380EECF0"/>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4">
    <w:nsid w:val="39F82A81"/>
    <w:multiLevelType w:val="hybridMultilevel"/>
    <w:tmpl w:val="895C2EFC"/>
    <w:lvl w:ilvl="0" w:tplc="25825358">
      <w:start w:val="1"/>
      <w:numFmt w:val="decimal"/>
      <w:lvlText w:val="%1."/>
      <w:lvlJc w:val="left"/>
      <w:pPr>
        <w:tabs>
          <w:tab w:val="num" w:pos="454"/>
        </w:tabs>
        <w:ind w:left="454" w:hanging="454"/>
      </w:pPr>
      <w:rPr>
        <w:rFonts w:hint="default"/>
      </w:rPr>
    </w:lvl>
    <w:lvl w:ilvl="1" w:tplc="0F80289A">
      <w:start w:val="1"/>
      <w:numFmt w:val="decimal"/>
      <w:lvlRestart w:val="0"/>
      <w:lvlText w:val="Figure %2."/>
      <w:lvlJc w:val="left"/>
      <w:pPr>
        <w:tabs>
          <w:tab w:val="num" w:pos="2157"/>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FE0033"/>
    <w:multiLevelType w:val="hybridMultilevel"/>
    <w:tmpl w:val="C25028AE"/>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6">
    <w:nsid w:val="5D0B3247"/>
    <w:multiLevelType w:val="hybridMultilevel"/>
    <w:tmpl w:val="09BE1942"/>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7">
    <w:nsid w:val="602A7436"/>
    <w:multiLevelType w:val="hybridMultilevel"/>
    <w:tmpl w:val="5726A93A"/>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8">
    <w:nsid w:val="623C6386"/>
    <w:multiLevelType w:val="hybridMultilevel"/>
    <w:tmpl w:val="8F9CF2EA"/>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9">
    <w:nsid w:val="67DB067F"/>
    <w:multiLevelType w:val="hybridMultilevel"/>
    <w:tmpl w:val="8D5ECD7A"/>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0">
    <w:nsid w:val="73CA6FBC"/>
    <w:multiLevelType w:val="hybridMultilevel"/>
    <w:tmpl w:val="1098DD5A"/>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4"/>
  </w:num>
  <w:num w:numId="2">
    <w:abstractNumId w:val="5"/>
  </w:num>
  <w:num w:numId="3">
    <w:abstractNumId w:val="9"/>
  </w:num>
  <w:num w:numId="4">
    <w:abstractNumId w:val="2"/>
  </w:num>
  <w:num w:numId="5">
    <w:abstractNumId w:val="6"/>
  </w:num>
  <w:num w:numId="6">
    <w:abstractNumId w:val="3"/>
  </w:num>
  <w:num w:numId="7">
    <w:abstractNumId w:val="7"/>
  </w:num>
  <w:num w:numId="8">
    <w:abstractNumId w:val="10"/>
  </w:num>
  <w:num w:numId="9">
    <w:abstractNumId w:val="8"/>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1507"/>
    <w:rsid w:val="00006892"/>
    <w:rsid w:val="000738B0"/>
    <w:rsid w:val="000769B8"/>
    <w:rsid w:val="00144D95"/>
    <w:rsid w:val="001E4261"/>
    <w:rsid w:val="001F0322"/>
    <w:rsid w:val="001F68DF"/>
    <w:rsid w:val="00244C40"/>
    <w:rsid w:val="002B1D8D"/>
    <w:rsid w:val="00317F9F"/>
    <w:rsid w:val="003842D1"/>
    <w:rsid w:val="003B7828"/>
    <w:rsid w:val="003F1507"/>
    <w:rsid w:val="0040278A"/>
    <w:rsid w:val="004940B0"/>
    <w:rsid w:val="004C149E"/>
    <w:rsid w:val="00535675"/>
    <w:rsid w:val="005C720C"/>
    <w:rsid w:val="005D69E6"/>
    <w:rsid w:val="005E0B2D"/>
    <w:rsid w:val="00610674"/>
    <w:rsid w:val="00696823"/>
    <w:rsid w:val="006B1A44"/>
    <w:rsid w:val="006D7C17"/>
    <w:rsid w:val="007B1304"/>
    <w:rsid w:val="008835EB"/>
    <w:rsid w:val="00892345"/>
    <w:rsid w:val="008C5140"/>
    <w:rsid w:val="008D3CCC"/>
    <w:rsid w:val="0094221D"/>
    <w:rsid w:val="009F5884"/>
    <w:rsid w:val="00A1446B"/>
    <w:rsid w:val="00A5317D"/>
    <w:rsid w:val="00AB0129"/>
    <w:rsid w:val="00B1673C"/>
    <w:rsid w:val="00B45514"/>
    <w:rsid w:val="00CB2EBA"/>
    <w:rsid w:val="00E346D0"/>
    <w:rsid w:val="00EC6BF2"/>
    <w:rsid w:val="00F504A5"/>
    <w:rsid w:val="00F70B5D"/>
    <w:rsid w:val="00F91A78"/>
    <w:rsid w:val="00FA65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07"/>
    <w:pPr>
      <w:spacing w:before="240"/>
    </w:pPr>
    <w:rPr>
      <w:rFonts w:ascii="Swis721 Lt BT" w:eastAsia="Times New Roman" w:hAnsi="Swis721 Lt BT" w:cs="Arial"/>
      <w:bCs/>
    </w:rPr>
  </w:style>
  <w:style w:type="paragraph" w:styleId="Heading1">
    <w:name w:val="heading 1"/>
    <w:basedOn w:val="Normal"/>
    <w:next w:val="Normal"/>
    <w:link w:val="Heading1Char"/>
    <w:qFormat/>
    <w:rsid w:val="008835EB"/>
    <w:pPr>
      <w:keepNext/>
      <w:outlineLvl w:val="0"/>
    </w:pPr>
    <w:rPr>
      <w:b/>
      <w:bCs w:val="0"/>
      <w:kern w:val="32"/>
      <w:sz w:val="32"/>
      <w:szCs w:val="32"/>
    </w:rPr>
  </w:style>
  <w:style w:type="paragraph" w:styleId="Heading2">
    <w:name w:val="heading 2"/>
    <w:basedOn w:val="Normal"/>
    <w:next w:val="Normal"/>
    <w:link w:val="Heading2Char"/>
    <w:uiPriority w:val="9"/>
    <w:unhideWhenUsed/>
    <w:qFormat/>
    <w:rsid w:val="00B45514"/>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07"/>
    <w:pPr>
      <w:spacing w:before="0"/>
      <w:ind w:left="720"/>
      <w:contextualSpacing/>
    </w:pPr>
    <w:rPr>
      <w:rFonts w:ascii="Times New Roman" w:eastAsiaTheme="minorHAnsi" w:hAnsi="Times New Roman" w:cs="Times New Roman"/>
      <w:bCs w:val="0"/>
      <w:sz w:val="24"/>
    </w:rPr>
  </w:style>
  <w:style w:type="paragraph" w:styleId="BalloonText">
    <w:name w:val="Balloon Text"/>
    <w:basedOn w:val="Normal"/>
    <w:link w:val="BalloonTextChar"/>
    <w:uiPriority w:val="99"/>
    <w:semiHidden/>
    <w:unhideWhenUsed/>
    <w:rsid w:val="006B1A4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44"/>
    <w:rPr>
      <w:rFonts w:ascii="Tahoma" w:eastAsia="Times New Roman" w:hAnsi="Tahoma" w:cs="Tahoma"/>
      <w:bCs/>
      <w:sz w:val="16"/>
      <w:szCs w:val="16"/>
    </w:rPr>
  </w:style>
  <w:style w:type="character" w:customStyle="1" w:styleId="Heading1Char">
    <w:name w:val="Heading 1 Char"/>
    <w:basedOn w:val="DefaultParagraphFont"/>
    <w:link w:val="Heading1"/>
    <w:rsid w:val="008835EB"/>
    <w:rPr>
      <w:rFonts w:ascii="Swis721 Lt BT" w:eastAsia="Times New Roman" w:hAnsi="Swis721 Lt BT" w:cs="Arial"/>
      <w:b/>
      <w:kern w:val="32"/>
      <w:sz w:val="32"/>
      <w:szCs w:val="32"/>
    </w:rPr>
  </w:style>
  <w:style w:type="character" w:customStyle="1" w:styleId="Heading2Char">
    <w:name w:val="Heading 2 Char"/>
    <w:basedOn w:val="DefaultParagraphFont"/>
    <w:link w:val="Heading2"/>
    <w:uiPriority w:val="9"/>
    <w:rsid w:val="00B45514"/>
    <w:rPr>
      <w:rFonts w:asciiTheme="majorHAnsi" w:eastAsiaTheme="majorEastAsia" w:hAnsiTheme="majorHAnsi" w:cstheme="majorBidi"/>
      <w:b/>
      <w:color w:val="4F81BD" w:themeColor="accent1"/>
      <w:sz w:val="26"/>
      <w:szCs w:val="26"/>
    </w:rPr>
  </w:style>
  <w:style w:type="paragraph" w:styleId="Header">
    <w:name w:val="header"/>
    <w:basedOn w:val="Normal"/>
    <w:link w:val="HeaderChar"/>
    <w:uiPriority w:val="99"/>
    <w:unhideWhenUsed/>
    <w:rsid w:val="00EC6BF2"/>
    <w:pPr>
      <w:tabs>
        <w:tab w:val="center" w:pos="4513"/>
        <w:tab w:val="right" w:pos="9026"/>
      </w:tabs>
      <w:spacing w:before="0"/>
    </w:pPr>
  </w:style>
  <w:style w:type="character" w:customStyle="1" w:styleId="HeaderChar">
    <w:name w:val="Header Char"/>
    <w:basedOn w:val="DefaultParagraphFont"/>
    <w:link w:val="Header"/>
    <w:uiPriority w:val="99"/>
    <w:rsid w:val="00EC6BF2"/>
    <w:rPr>
      <w:rFonts w:ascii="Swis721 Lt BT" w:eastAsia="Times New Roman" w:hAnsi="Swis721 Lt BT" w:cs="Arial"/>
      <w:bCs/>
    </w:rPr>
  </w:style>
  <w:style w:type="paragraph" w:styleId="Footer">
    <w:name w:val="footer"/>
    <w:basedOn w:val="Normal"/>
    <w:link w:val="FooterChar"/>
    <w:uiPriority w:val="99"/>
    <w:unhideWhenUsed/>
    <w:rsid w:val="00EC6BF2"/>
    <w:pPr>
      <w:tabs>
        <w:tab w:val="center" w:pos="4513"/>
        <w:tab w:val="right" w:pos="9026"/>
      </w:tabs>
      <w:spacing w:before="0"/>
    </w:pPr>
  </w:style>
  <w:style w:type="character" w:customStyle="1" w:styleId="FooterChar">
    <w:name w:val="Footer Char"/>
    <w:basedOn w:val="DefaultParagraphFont"/>
    <w:link w:val="Footer"/>
    <w:uiPriority w:val="99"/>
    <w:rsid w:val="00EC6BF2"/>
    <w:rPr>
      <w:rFonts w:ascii="Swis721 Lt BT" w:eastAsia="Times New Roman" w:hAnsi="Swis721 Lt BT" w:cs="Arial"/>
      <w:bCs/>
    </w:rPr>
  </w:style>
  <w:style w:type="paragraph" w:styleId="NoSpacing">
    <w:name w:val="No Spacing"/>
    <w:link w:val="NoSpacingChar"/>
    <w:uiPriority w:val="1"/>
    <w:qFormat/>
    <w:rsid w:val="006D7C17"/>
    <w:rPr>
      <w:rFonts w:asciiTheme="minorHAnsi" w:eastAsiaTheme="minorEastAsia" w:hAnsiTheme="minorHAnsi" w:cstheme="minorBidi"/>
      <w:szCs w:val="22"/>
      <w:lang w:val="en-US"/>
    </w:rPr>
  </w:style>
  <w:style w:type="character" w:customStyle="1" w:styleId="NoSpacingChar">
    <w:name w:val="No Spacing Char"/>
    <w:basedOn w:val="DefaultParagraphFont"/>
    <w:link w:val="NoSpacing"/>
    <w:uiPriority w:val="1"/>
    <w:rsid w:val="006D7C17"/>
    <w:rPr>
      <w:rFonts w:asciiTheme="minorHAnsi" w:eastAsiaTheme="minorEastAsia" w:hAnsiTheme="minorHAnsi" w:cstheme="minorBidi"/>
      <w:szCs w:val="22"/>
      <w:lang w:val="en-US"/>
    </w:rPr>
  </w:style>
  <w:style w:type="character" w:styleId="Hyperlink">
    <w:name w:val="Hyperlink"/>
    <w:basedOn w:val="DefaultParagraphFont"/>
    <w:uiPriority w:val="99"/>
    <w:unhideWhenUsed/>
    <w:rsid w:val="001E4261"/>
    <w:rPr>
      <w:color w:val="0000FF" w:themeColor="hyperlink"/>
      <w:u w:val="single"/>
    </w:rPr>
  </w:style>
  <w:style w:type="paragraph" w:customStyle="1" w:styleId="style1">
    <w:name w:val="style 1"/>
    <w:basedOn w:val="Normal"/>
    <w:link w:val="style1Char"/>
    <w:qFormat/>
    <w:rsid w:val="007B1304"/>
    <w:pPr>
      <w:spacing w:before="0" w:line="360" w:lineRule="auto"/>
    </w:pPr>
    <w:rPr>
      <w:rFonts w:ascii="Swis721 BT" w:eastAsiaTheme="minorHAnsi" w:hAnsi="Swis721 BT"/>
      <w:szCs w:val="22"/>
    </w:rPr>
  </w:style>
  <w:style w:type="character" w:customStyle="1" w:styleId="style1Char">
    <w:name w:val="style 1 Char"/>
    <w:basedOn w:val="DefaultParagraphFont"/>
    <w:link w:val="style1"/>
    <w:rsid w:val="007B1304"/>
    <w:rPr>
      <w:rFonts w:ascii="Swis721 BT" w:hAnsi="Swis721 BT" w:cs="Arial"/>
      <w:bCs/>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view@ombo.nsw.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wis721 Lt BT">
    <w:altName w:val="Swis721 Lt BT"/>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wis721 BT">
    <w:panose1 w:val="000B0500000000000000"/>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D26A2"/>
    <w:rsid w:val="00CD26A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154068383D4EA589EC5F227DF32C31">
    <w:name w:val="43154068383D4EA589EC5F227DF32C31"/>
    <w:rsid w:val="00CD26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9FB3A-26EE-46CB-B85E-D194F2F4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5322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OMBUDSMAN</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hbrunello</dc:creator>
  <cp:keywords/>
  <dc:description/>
  <cp:lastModifiedBy>mstewart</cp:lastModifiedBy>
  <cp:revision>2</cp:revision>
  <cp:lastPrinted>2012-11-27T22:08:00Z</cp:lastPrinted>
  <dcterms:created xsi:type="dcterms:W3CDTF">2012-12-22T01:30:00Z</dcterms:created>
  <dcterms:modified xsi:type="dcterms:W3CDTF">2012-12-22T01:30:00Z</dcterms:modified>
</cp:coreProperties>
</file>