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8DF5" w14:textId="4E7B7F16" w:rsidR="00310063" w:rsidRDefault="00310063" w:rsidP="0093701F">
      <w:pPr>
        <w:pStyle w:val="Heading1"/>
        <w:numPr>
          <w:ilvl w:val="0"/>
          <w:numId w:val="0"/>
        </w:numPr>
      </w:pPr>
      <w:bookmarkStart w:id="0" w:name="_Toc140251602"/>
      <w:bookmarkStart w:id="1" w:name="_Toc140251699"/>
      <w:r>
        <w:rPr>
          <w:noProof/>
        </w:rPr>
        <w:drawing>
          <wp:anchor distT="0" distB="0" distL="114300" distR="114300" simplePos="0" relativeHeight="251659268" behindDoc="1" locked="1" layoutInCell="1" allowOverlap="1" wp14:anchorId="5ADBBD04" wp14:editId="0F770925">
            <wp:simplePos x="0" y="0"/>
            <wp:positionH relativeFrom="page">
              <wp:posOffset>0</wp:posOffset>
            </wp:positionH>
            <wp:positionV relativeFrom="page">
              <wp:posOffset>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076FF0">
        <w:t xml:space="preserve"> </w:t>
      </w:r>
    </w:p>
    <w:p w14:paraId="38CDD09D" w14:textId="6EE6A434" w:rsidR="00310063" w:rsidRDefault="00310063">
      <w:pPr>
        <w:rPr>
          <w:rFonts w:ascii="Arial" w:eastAsiaTheme="majorEastAsia" w:hAnsi="Arial" w:cstheme="majorBidi"/>
          <w:b/>
          <w:sz w:val="32"/>
          <w:szCs w:val="32"/>
        </w:rPr>
      </w:pPr>
      <w:r>
        <w:rPr>
          <w:noProof/>
        </w:rPr>
        <mc:AlternateContent>
          <mc:Choice Requires="wps">
            <w:drawing>
              <wp:anchor distT="45720" distB="45720" distL="114300" distR="114300" simplePos="0" relativeHeight="251661316" behindDoc="0" locked="0" layoutInCell="1" allowOverlap="1" wp14:anchorId="2136556E" wp14:editId="358A3472">
                <wp:simplePos x="0" y="0"/>
                <wp:positionH relativeFrom="margin">
                  <wp:posOffset>123825</wp:posOffset>
                </wp:positionH>
                <wp:positionV relativeFrom="paragraph">
                  <wp:posOffset>2626447</wp:posOffset>
                </wp:positionV>
                <wp:extent cx="3783330" cy="1576070"/>
                <wp:effectExtent l="0" t="0" r="762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576070"/>
                        </a:xfrm>
                        <a:prstGeom prst="rect">
                          <a:avLst/>
                        </a:prstGeom>
                        <a:noFill/>
                        <a:ln w="9525">
                          <a:noFill/>
                          <a:miter lim="800000"/>
                          <a:headEnd/>
                          <a:tailEnd/>
                        </a:ln>
                      </wps:spPr>
                      <wps:txbx>
                        <w:txbxContent>
                          <w:p w14:paraId="72CDC12E" w14:textId="24C68F24" w:rsidR="00310063" w:rsidRPr="000A7EB8" w:rsidRDefault="00310063" w:rsidP="00310063">
                            <w:pPr>
                              <w:pStyle w:val="Title"/>
                              <w:spacing w:line="216" w:lineRule="auto"/>
                            </w:pPr>
                            <w:r>
                              <w:t xml:space="preserve">Developing your Public </w:t>
                            </w:r>
                            <w:r w:rsidRPr="00B12EEE">
                              <w:t>Inte</w:t>
                            </w:r>
                            <w:r>
                              <w:t xml:space="preserve">rest Disclosure policy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136556E" id="_x0000_t202" coordsize="21600,21600" o:spt="202" path="m,l,21600r21600,l21600,xe">
                <v:stroke joinstyle="miter"/>
                <v:path gradientshapeok="t" o:connecttype="rect"/>
              </v:shapetype>
              <v:shape id="Text Box 2" o:spid="_x0000_s1026" type="#_x0000_t202" style="position:absolute;margin-left:9.75pt;margin-top:206.8pt;width:297.9pt;height:124.1pt;z-index:251661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" filled="f" stroked="f">
                <v:textbox inset="0,0,0,0">
                  <w:txbxContent>
                    <w:p w14:paraId="72CDC12E" w14:textId="24C68F24" w:rsidR="00310063" w:rsidRPr="000A7EB8" w:rsidRDefault="00310063" w:rsidP="00310063">
                      <w:pPr>
                        <w:pStyle w:val="Title"/>
                        <w:spacing w:line="216" w:lineRule="auto"/>
                      </w:pPr>
                      <w:r>
                        <w:t xml:space="preserve">Developing your Public </w:t>
                      </w:r>
                      <w:r w:rsidRPr="00B12EEE">
                        <w:t>Inte</w:t>
                      </w:r>
                      <w:r>
                        <w:t xml:space="preserve">rest Disclosure policy </w:t>
                      </w:r>
                    </w:p>
                  </w:txbxContent>
                </v:textbox>
                <w10:wrap type="square" anchorx="margin"/>
              </v:shape>
            </w:pict>
          </mc:Fallback>
        </mc:AlternateContent>
      </w:r>
      <w:r>
        <w:br w:type="page"/>
      </w:r>
    </w:p>
    <w:p w14:paraId="0C8E2EA5" w14:textId="4AD1BEFE" w:rsidR="001B2316" w:rsidRPr="00084B45" w:rsidRDefault="00486088" w:rsidP="00084B45">
      <w:pPr>
        <w:pStyle w:val="Heading1"/>
        <w:numPr>
          <w:ilvl w:val="0"/>
          <w:numId w:val="0"/>
        </w:numPr>
      </w:pPr>
      <w:bookmarkStart w:id="2" w:name="_Toc140251603"/>
      <w:bookmarkStart w:id="3" w:name="_Toc140251700"/>
      <w:r>
        <w:lastRenderedPageBreak/>
        <w:t>Developing your P</w:t>
      </w:r>
      <w:r w:rsidR="00FC3D34">
        <w:t>ublic Interest Disclosure</w:t>
      </w:r>
      <w:r w:rsidR="00BE4F03">
        <w:t xml:space="preserve"> policy</w:t>
      </w:r>
      <w:bookmarkEnd w:id="2"/>
      <w:bookmarkEnd w:id="3"/>
    </w:p>
    <w:bookmarkStart w:id="4" w:name="_Toc140251604"/>
    <w:bookmarkStart w:id="5" w:name="_Toc140251701"/>
    <w:p w14:paraId="03340D95" w14:textId="75F8915C" w:rsidR="00BE4F03" w:rsidRPr="00B7553E" w:rsidRDefault="00E3369E" w:rsidP="00FC7467">
      <w:pPr>
        <w:pStyle w:val="Heading2"/>
        <w:numPr>
          <w:ilvl w:val="0"/>
          <w:numId w:val="0"/>
        </w:numPr>
        <w:ind w:left="284" w:right="237"/>
        <w:rPr>
          <w:rStyle w:val="eop"/>
          <w:color w:val="0A4047"/>
        </w:rPr>
      </w:pPr>
      <w:r w:rsidRPr="00B7553E">
        <w:rPr>
          <w:noProof/>
          <w:color w:val="0A4047"/>
        </w:rPr>
        <mc:AlternateContent>
          <mc:Choice Requires="wps">
            <w:drawing>
              <wp:anchor distT="0" distB="0" distL="114300" distR="114300" simplePos="0" relativeHeight="251663364" behindDoc="1" locked="0" layoutInCell="1" allowOverlap="1" wp14:anchorId="1E6E9514" wp14:editId="729E6AC8">
                <wp:simplePos x="0" y="0"/>
                <wp:positionH relativeFrom="margin">
                  <wp:align>left</wp:align>
                </wp:positionH>
                <wp:positionV relativeFrom="paragraph">
                  <wp:posOffset>37012</wp:posOffset>
                </wp:positionV>
                <wp:extent cx="5847715" cy="2707574"/>
                <wp:effectExtent l="0" t="0" r="19685" b="17145"/>
                <wp:wrapNone/>
                <wp:docPr id="9" name="Rectangle 9"/>
                <wp:cNvGraphicFramePr/>
                <a:graphic xmlns:a="http://schemas.openxmlformats.org/drawingml/2006/main">
                  <a:graphicData uri="http://schemas.microsoft.com/office/word/2010/wordprocessingShape">
                    <wps:wsp>
                      <wps:cNvSpPr/>
                      <wps:spPr>
                        <a:xfrm>
                          <a:off x="0" y="0"/>
                          <a:ext cx="5847715" cy="2707574"/>
                        </a:xfrm>
                        <a:prstGeom prst="rect">
                          <a:avLst/>
                        </a:prstGeom>
                        <a:solidFill>
                          <a:srgbClr val="CEDDD4"/>
                        </a:solidFill>
                        <a:ln>
                          <a:solidFill>
                            <a:srgbClr val="0A40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D4A9AD" id="Rectangle 9" o:spid="_x0000_s1026" style="position:absolute;margin-left:0;margin-top:2.9pt;width:460.45pt;height:213.2pt;z-index:-2516531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" fillcolor="#ceddd4" strokecolor="#0a4047" strokeweight="2pt">
                <w10:wrap anchorx="margin"/>
              </v:rect>
            </w:pict>
          </mc:Fallback>
        </mc:AlternateContent>
      </w:r>
      <w:r w:rsidR="00F9314F" w:rsidRPr="00B7553E">
        <w:rPr>
          <w:rStyle w:val="normaltextrun"/>
          <w:color w:val="0A4047"/>
        </w:rPr>
        <w:t>What this guideline covers</w:t>
      </w:r>
      <w:bookmarkEnd w:id="4"/>
      <w:bookmarkEnd w:id="5"/>
    </w:p>
    <w:p w14:paraId="10E8911E" w14:textId="1D208468" w:rsidR="00007CB1" w:rsidRDefault="000F0665" w:rsidP="00FC7467">
      <w:pPr>
        <w:pStyle w:val="BodyText"/>
        <w:ind w:left="284"/>
      </w:pPr>
      <w:r w:rsidRPr="007E19FB">
        <w:t>Under s</w:t>
      </w:r>
      <w:r w:rsidR="00306182">
        <w:t>ection</w:t>
      </w:r>
      <w:r w:rsidRPr="007E19FB">
        <w:t xml:space="preserve"> 42 of the </w:t>
      </w:r>
      <w:r w:rsidRPr="00AD561F">
        <w:rPr>
          <w:i/>
          <w:iCs/>
        </w:rPr>
        <w:t>Public Interest Disclosures Act 2022</w:t>
      </w:r>
      <w:r>
        <w:t xml:space="preserve"> (</w:t>
      </w:r>
      <w:r w:rsidRPr="00AD561F">
        <w:rPr>
          <w:b/>
          <w:bCs/>
        </w:rPr>
        <w:t>PID Act</w:t>
      </w:r>
      <w:r>
        <w:t>)</w:t>
      </w:r>
      <w:r w:rsidRPr="007E19FB">
        <w:t>, all agencies must have a public interest disclosure (</w:t>
      </w:r>
      <w:r w:rsidRPr="007E19FB">
        <w:rPr>
          <w:b/>
          <w:bCs/>
        </w:rPr>
        <w:t>PID</w:t>
      </w:r>
      <w:r w:rsidRPr="007E19FB">
        <w:t>) policy.</w:t>
      </w:r>
    </w:p>
    <w:p w14:paraId="72B118F7" w14:textId="10344B00" w:rsidR="000F0665" w:rsidRPr="007E19FB" w:rsidRDefault="001B2316" w:rsidP="00FC7467">
      <w:pPr>
        <w:pStyle w:val="BodyText"/>
        <w:ind w:left="284"/>
      </w:pPr>
      <w:r>
        <w:t>Section 72 of the PID Act sets out the</w:t>
      </w:r>
      <w:r w:rsidR="00BF3A15">
        <w:t xml:space="preserve"> NSW</w:t>
      </w:r>
      <w:r>
        <w:t xml:space="preserve"> Ombudsman’s functions under the </w:t>
      </w:r>
      <w:r w:rsidR="00147FF0">
        <w:t xml:space="preserve">PID </w:t>
      </w:r>
      <w:r>
        <w:t xml:space="preserve">Act. </w:t>
      </w:r>
      <w:r w:rsidR="00C670E6">
        <w:t xml:space="preserve">One of those functions is to publish </w:t>
      </w:r>
      <w:r w:rsidR="00FB28DB">
        <w:t>guidelines and other materials to assist agencies with their functions under the PID Act.</w:t>
      </w:r>
    </w:p>
    <w:p w14:paraId="3B2E98FD" w14:textId="1FDF449C" w:rsidR="002A28FA" w:rsidRDefault="000F0665" w:rsidP="00FC7467">
      <w:pPr>
        <w:pStyle w:val="BodyText"/>
        <w:ind w:left="284"/>
      </w:pPr>
      <w:r w:rsidRPr="62ADC80E">
        <w:t xml:space="preserve">This guideline contains a model </w:t>
      </w:r>
      <w:r w:rsidR="006B5F68">
        <w:t>PID</w:t>
      </w:r>
      <w:r w:rsidRPr="62ADC80E">
        <w:t xml:space="preserve"> policy</w:t>
      </w:r>
      <w:r w:rsidR="0075438F">
        <w:t xml:space="preserve"> (</w:t>
      </w:r>
      <w:r w:rsidR="0075438F">
        <w:rPr>
          <w:b/>
          <w:bCs/>
        </w:rPr>
        <w:t>Model Policy</w:t>
      </w:r>
      <w:r w:rsidR="0075438F">
        <w:t>)</w:t>
      </w:r>
      <w:r w:rsidRPr="62ADC80E">
        <w:t xml:space="preserve"> which agencies can adopt, as well as guidance on developing </w:t>
      </w:r>
      <w:r w:rsidR="00A1107C">
        <w:t>their</w:t>
      </w:r>
      <w:r w:rsidRPr="62ADC80E">
        <w:t xml:space="preserve"> PID policy</w:t>
      </w:r>
      <w:r w:rsidR="00534D80">
        <w:t xml:space="preserve"> based on the </w:t>
      </w:r>
      <w:r w:rsidR="0075438F">
        <w:t>M</w:t>
      </w:r>
      <w:r w:rsidR="00534D80">
        <w:t xml:space="preserve">odel </w:t>
      </w:r>
      <w:r w:rsidR="001A4799">
        <w:t>P</w:t>
      </w:r>
      <w:r w:rsidR="00534D80">
        <w:t>olicy</w:t>
      </w:r>
      <w:r w:rsidRPr="62ADC80E">
        <w:t>.</w:t>
      </w:r>
    </w:p>
    <w:p w14:paraId="42EA6B43" w14:textId="4EE7582F" w:rsidR="00F9314F" w:rsidRDefault="000F0665" w:rsidP="00FC7467">
      <w:pPr>
        <w:pStyle w:val="BodyText"/>
        <w:ind w:left="284"/>
      </w:pPr>
      <w:r w:rsidRPr="62ADC80E">
        <w:t xml:space="preserve">Agencies can </w:t>
      </w:r>
      <w:r w:rsidR="002A28FA">
        <w:t>alternatively</w:t>
      </w:r>
      <w:r w:rsidR="002A28FA" w:rsidRPr="62ADC80E">
        <w:t xml:space="preserve"> </w:t>
      </w:r>
      <w:r w:rsidRPr="62ADC80E">
        <w:t>develop their own PID policy</w:t>
      </w:r>
      <w:r w:rsidR="00F7458E">
        <w:t xml:space="preserve"> not based on the </w:t>
      </w:r>
      <w:r w:rsidR="0075438F">
        <w:t>Model Policy</w:t>
      </w:r>
      <w:r w:rsidR="00C4172C">
        <w:t>,</w:t>
      </w:r>
      <w:r w:rsidR="00260B25">
        <w:t xml:space="preserve"> but if they do</w:t>
      </w:r>
      <w:r w:rsidR="00C4172C">
        <w:t xml:space="preserve">, </w:t>
      </w:r>
      <w:r w:rsidR="00260B25">
        <w:t>they still</w:t>
      </w:r>
      <w:r w:rsidRPr="62ADC80E">
        <w:t xml:space="preserve"> must have regard to </w:t>
      </w:r>
      <w:r w:rsidR="00C4172C">
        <w:t>any relevant</w:t>
      </w:r>
      <w:r w:rsidRPr="62ADC80E">
        <w:t xml:space="preserve"> </w:t>
      </w:r>
      <w:r w:rsidR="00317C1E">
        <w:t>Ombudsman’s guidelines</w:t>
      </w:r>
      <w:r w:rsidRPr="62ADC80E">
        <w:t xml:space="preserve"> </w:t>
      </w:r>
      <w:r w:rsidR="00776A5D">
        <w:t xml:space="preserve">(including those set out in the </w:t>
      </w:r>
      <w:r w:rsidR="0075438F">
        <w:t>Model Policy</w:t>
      </w:r>
      <w:r w:rsidR="00776A5D">
        <w:t>)</w:t>
      </w:r>
      <w:r w:rsidRPr="62ADC80E">
        <w:t>.</w:t>
      </w:r>
    </w:p>
    <w:p w14:paraId="50E75589" w14:textId="46F2E3D7" w:rsidR="001B2316" w:rsidRDefault="001B2316" w:rsidP="00FC7467">
      <w:pPr>
        <w:pStyle w:val="BodyText"/>
      </w:pPr>
    </w:p>
    <w:p w14:paraId="0AF97399" w14:textId="77777777" w:rsidR="00FC7467" w:rsidRDefault="00FC7467" w:rsidP="00FC7467">
      <w:pPr>
        <w:pStyle w:val="BodyText"/>
      </w:pPr>
    </w:p>
    <w:p w14:paraId="5635B2C8" w14:textId="77777777" w:rsidR="00FC7467" w:rsidRDefault="00FC7467" w:rsidP="00FC7467">
      <w:pPr>
        <w:pStyle w:val="BodyText"/>
      </w:pPr>
    </w:p>
    <w:p w14:paraId="7B9755D3" w14:textId="77777777" w:rsidR="00FC7467" w:rsidRDefault="00FC7467" w:rsidP="00FC7467">
      <w:pPr>
        <w:pStyle w:val="BodyText"/>
      </w:pPr>
    </w:p>
    <w:p w14:paraId="49301D4F" w14:textId="77777777" w:rsidR="00FC7467" w:rsidRDefault="00FC7467" w:rsidP="00FC7467">
      <w:pPr>
        <w:pStyle w:val="BodyText"/>
      </w:pPr>
    </w:p>
    <w:p w14:paraId="39FC50BD" w14:textId="14AF6AAB" w:rsidR="00FC7467" w:rsidRDefault="00FC7467">
      <w:r w:rsidRPr="00616E3D">
        <w:rPr>
          <w:rFonts w:ascii="Arial" w:hAnsi="Arial" w:cs="Arial"/>
          <w:b/>
          <w:bCs/>
          <w:noProof/>
          <w:color w:val="000000" w:themeColor="text1"/>
        </w:rPr>
        <mc:AlternateContent>
          <mc:Choice Requires="wps">
            <w:drawing>
              <wp:anchor distT="45720" distB="45720" distL="114300" distR="114300" simplePos="0" relativeHeight="251665412" behindDoc="0" locked="0" layoutInCell="1" allowOverlap="1" wp14:anchorId="289BDB25" wp14:editId="5C699AD1">
                <wp:simplePos x="0" y="0"/>
                <wp:positionH relativeFrom="margin">
                  <wp:align>left</wp:align>
                </wp:positionH>
                <wp:positionV relativeFrom="paragraph">
                  <wp:posOffset>2804381</wp:posOffset>
                </wp:positionV>
                <wp:extent cx="463867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noFill/>
                        <a:ln w="9525">
                          <a:noFill/>
                          <a:miter lim="800000"/>
                          <a:headEnd/>
                          <a:tailEnd/>
                        </a:ln>
                      </wps:spPr>
                      <wps:txbx>
                        <w:txbxContent>
                          <w:p w14:paraId="0EA8A8B8" w14:textId="6B17A846" w:rsidR="00FC7467" w:rsidRPr="00616E3D" w:rsidRDefault="00FC7467" w:rsidP="00FC7467">
                            <w:pPr>
                              <w:pStyle w:val="BodyText"/>
                            </w:pPr>
                            <w:r w:rsidRPr="00616E3D">
                              <w:t xml:space="preserve">ISBN: </w:t>
                            </w:r>
                            <w:r>
                              <w:t>9</w:t>
                            </w:r>
                            <w:r>
                              <w:rPr>
                                <w:rStyle w:val="A1"/>
                              </w:rPr>
                              <w:t>78-1-922862-12-9</w:t>
                            </w:r>
                          </w:p>
                          <w:p w14:paraId="775D4B52" w14:textId="77777777" w:rsidR="00FC7467" w:rsidRPr="00616E3D" w:rsidRDefault="00FC7467" w:rsidP="00FC7467">
                            <w:pPr>
                              <w:pStyle w:val="BodyText"/>
                            </w:pPr>
                            <w:r w:rsidRPr="00616E3D">
                              <w:t>NSW Ombudsman, Level 24, 580 George Street</w:t>
                            </w:r>
                            <w:r>
                              <w:t xml:space="preserve">, </w:t>
                            </w:r>
                            <w:r w:rsidRPr="00616E3D">
                              <w:t>Sydney NSW 2000</w:t>
                            </w:r>
                          </w:p>
                          <w:p w14:paraId="511F76A2" w14:textId="77777777" w:rsidR="00FC7467" w:rsidRPr="00616E3D" w:rsidRDefault="00FC7467" w:rsidP="00FC7467">
                            <w:pPr>
                              <w:pStyle w:val="BodyText"/>
                            </w:pPr>
                            <w:proofErr w:type="gramStart"/>
                            <w:r w:rsidRPr="00F1293C">
                              <w:t xml:space="preserve">Email  </w:t>
                            </w:r>
                            <w:r w:rsidRPr="006F428B">
                              <w:rPr>
                                <w:color w:val="0A4047"/>
                                <w:u w:val="single"/>
                              </w:rPr>
                              <w:t>pidadvice@ombo.nsw.gov.au</w:t>
                            </w:r>
                            <w:proofErr w:type="gramEnd"/>
                            <w:r w:rsidRPr="00616E3D">
                              <w:br/>
                              <w:t>Web  www.ombo.nsw.gov.au</w:t>
                            </w:r>
                          </w:p>
                          <w:p w14:paraId="3F1709C8" w14:textId="77777777" w:rsidR="00FC7467" w:rsidRPr="00616E3D" w:rsidRDefault="00FC7467" w:rsidP="00FC7467">
                            <w:pPr>
                              <w:pStyle w:val="BodyText"/>
                            </w:pPr>
                            <w:r w:rsidRPr="00616E3D">
                              <w:t xml:space="preserve">General </w:t>
                            </w:r>
                            <w:proofErr w:type="gramStart"/>
                            <w:r w:rsidRPr="00616E3D">
                              <w:t>inquiries  02</w:t>
                            </w:r>
                            <w:proofErr w:type="gramEnd"/>
                            <w:r w:rsidRPr="00616E3D">
                              <w:t xml:space="preserve"> 9286 1000</w:t>
                            </w:r>
                            <w:r w:rsidRPr="00616E3D">
                              <w:br/>
                              <w:t>Toll free (outside Sydney metro)  1800 451 524</w:t>
                            </w:r>
                          </w:p>
                          <w:p w14:paraId="71DF0AD4" w14:textId="77777777" w:rsidR="00FC7467" w:rsidRPr="00616E3D" w:rsidRDefault="00FC7467" w:rsidP="00FC7467">
                            <w:pPr>
                              <w:pStyle w:val="BodyText"/>
                            </w:pPr>
                            <w:r w:rsidRPr="00616E3D">
                              <w:t>© State of New South Wales, July 2023</w:t>
                            </w:r>
                            <w:r>
                              <w:br/>
                            </w:r>
                            <w:r w:rsidRPr="00616E3D">
                              <w:t>This publication is released under a Creative Commons License CC BY 4.0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289BDB25" id="_x0000_s1027" type="#_x0000_t202" style="position:absolute;margin-left:0;margin-top:220.8pt;width:365.25pt;height:110.6pt;z-index:2516654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" filled="f" stroked="f">
                <v:textbox style="mso-fit-shape-to-text:t" inset="0,0,0,0">
                  <w:txbxContent>
                    <w:p w14:paraId="0EA8A8B8" w14:textId="6B17A846" w:rsidR="00FC7467" w:rsidRPr="00616E3D" w:rsidRDefault="00FC7467" w:rsidP="00FC7467">
                      <w:pPr>
                        <w:pStyle w:val="BodyText"/>
                      </w:pPr>
                      <w:r w:rsidRPr="00616E3D">
                        <w:t xml:space="preserve">ISBN: </w:t>
                      </w:r>
                      <w:r>
                        <w:t>9</w:t>
                      </w:r>
                      <w:r>
                        <w:rPr>
                          <w:rStyle w:val="A1"/>
                        </w:rPr>
                        <w:t>78-1-922862-12-9</w:t>
                      </w:r>
                    </w:p>
                    <w:p w14:paraId="775D4B52" w14:textId="77777777" w:rsidR="00FC7467" w:rsidRPr="00616E3D" w:rsidRDefault="00FC7467" w:rsidP="00FC7467">
                      <w:pPr>
                        <w:pStyle w:val="BodyText"/>
                      </w:pPr>
                      <w:r w:rsidRPr="00616E3D">
                        <w:t>NSW Ombudsman, Level 24, 580 George Street</w:t>
                      </w:r>
                      <w:r>
                        <w:t xml:space="preserve">, </w:t>
                      </w:r>
                      <w:r w:rsidRPr="00616E3D">
                        <w:t>Sydney NSW 2000</w:t>
                      </w:r>
                    </w:p>
                    <w:p w14:paraId="511F76A2" w14:textId="77777777" w:rsidR="00FC7467" w:rsidRPr="00616E3D" w:rsidRDefault="00FC7467" w:rsidP="00FC7467">
                      <w:pPr>
                        <w:pStyle w:val="BodyText"/>
                      </w:pPr>
                      <w:proofErr w:type="gramStart"/>
                      <w:r w:rsidRPr="00F1293C">
                        <w:t xml:space="preserve">Email  </w:t>
                      </w:r>
                      <w:r w:rsidRPr="006F428B">
                        <w:rPr>
                          <w:color w:val="0A4047"/>
                          <w:u w:val="single"/>
                        </w:rPr>
                        <w:t>pidadvice@ombo.nsw.gov.au</w:t>
                      </w:r>
                      <w:proofErr w:type="gramEnd"/>
                      <w:r w:rsidRPr="00616E3D">
                        <w:br/>
                        <w:t>Web  www.ombo.nsw.gov.au</w:t>
                      </w:r>
                    </w:p>
                    <w:p w14:paraId="3F1709C8" w14:textId="77777777" w:rsidR="00FC7467" w:rsidRPr="00616E3D" w:rsidRDefault="00FC7467" w:rsidP="00FC7467">
                      <w:pPr>
                        <w:pStyle w:val="BodyText"/>
                      </w:pPr>
                      <w:r w:rsidRPr="00616E3D">
                        <w:t xml:space="preserve">General </w:t>
                      </w:r>
                      <w:proofErr w:type="gramStart"/>
                      <w:r w:rsidRPr="00616E3D">
                        <w:t>inquiries  02</w:t>
                      </w:r>
                      <w:proofErr w:type="gramEnd"/>
                      <w:r w:rsidRPr="00616E3D">
                        <w:t xml:space="preserve"> 9286 1000</w:t>
                      </w:r>
                      <w:r w:rsidRPr="00616E3D">
                        <w:br/>
                        <w:t>Toll free (outside Sydney metro)  1800 451 524</w:t>
                      </w:r>
                    </w:p>
                    <w:p w14:paraId="71DF0AD4" w14:textId="77777777" w:rsidR="00FC7467" w:rsidRPr="00616E3D" w:rsidRDefault="00FC7467" w:rsidP="00FC7467">
                      <w:pPr>
                        <w:pStyle w:val="BodyText"/>
                      </w:pPr>
                      <w:r w:rsidRPr="00616E3D">
                        <w:t>© State of New South Wales, July 2023</w:t>
                      </w:r>
                      <w:r>
                        <w:br/>
                      </w:r>
                      <w:r w:rsidRPr="00616E3D">
                        <w:t>This publication is released under a Creative Commons License CC BY 4.0</w:t>
                      </w:r>
                    </w:p>
                  </w:txbxContent>
                </v:textbox>
                <w10:wrap type="square" anchorx="margin"/>
              </v:shape>
            </w:pict>
          </mc:Fallback>
        </mc:AlternateContent>
      </w:r>
      <w:r>
        <w:br w:type="page"/>
      </w:r>
    </w:p>
    <w:p w14:paraId="49B614FC" w14:textId="73571AA7" w:rsidR="00B523D6" w:rsidRPr="007E19FB" w:rsidRDefault="00B435EB" w:rsidP="0093701F">
      <w:pPr>
        <w:pStyle w:val="Heading2"/>
        <w:numPr>
          <w:ilvl w:val="0"/>
          <w:numId w:val="0"/>
        </w:numPr>
      </w:pPr>
      <w:bookmarkStart w:id="6" w:name="_Toc140251605"/>
      <w:bookmarkStart w:id="7" w:name="_Toc140251702"/>
      <w:r w:rsidRPr="007E19FB">
        <w:lastRenderedPageBreak/>
        <w:t>How to use th</w:t>
      </w:r>
      <w:r w:rsidR="00895F99">
        <w:t>e</w:t>
      </w:r>
      <w:r w:rsidRPr="007E19FB">
        <w:t xml:space="preserve"> </w:t>
      </w:r>
      <w:r w:rsidR="00895F99">
        <w:t>Model Policy</w:t>
      </w:r>
      <w:bookmarkEnd w:id="6"/>
      <w:bookmarkEnd w:id="7"/>
    </w:p>
    <w:p w14:paraId="3DD34E8A" w14:textId="3063E203" w:rsidR="002F4F92" w:rsidRPr="007E19FB" w:rsidRDefault="00414B93" w:rsidP="00FC7467">
      <w:pPr>
        <w:pStyle w:val="BodyText"/>
      </w:pPr>
      <w:r w:rsidRPr="007E19FB">
        <w:t>I</w:t>
      </w:r>
      <w:r w:rsidR="000512AA" w:rsidRPr="007E19FB">
        <w:t>f</w:t>
      </w:r>
      <w:r w:rsidRPr="007E19FB">
        <w:t xml:space="preserve"> an agency </w:t>
      </w:r>
      <w:r w:rsidR="005D514E">
        <w:t>uses</w:t>
      </w:r>
      <w:r w:rsidR="005D514E" w:rsidRPr="007E19FB">
        <w:t xml:space="preserve"> </w:t>
      </w:r>
      <w:r w:rsidR="00895F99">
        <w:t>the</w:t>
      </w:r>
      <w:r w:rsidR="00C55141" w:rsidRPr="007E19FB">
        <w:t xml:space="preserve"> </w:t>
      </w:r>
      <w:r w:rsidR="00884D19">
        <w:t>M</w:t>
      </w:r>
      <w:r w:rsidR="00C55141" w:rsidRPr="007E19FB">
        <w:t xml:space="preserve">odel </w:t>
      </w:r>
      <w:r w:rsidR="00884D19">
        <w:t>P</w:t>
      </w:r>
      <w:r w:rsidR="00990395" w:rsidRPr="007E19FB">
        <w:t>olicy,</w:t>
      </w:r>
      <w:r w:rsidR="00C55141" w:rsidRPr="007E19FB">
        <w:t xml:space="preserve"> </w:t>
      </w:r>
      <w:r w:rsidR="000512AA" w:rsidRPr="007E19FB">
        <w:t xml:space="preserve">it </w:t>
      </w:r>
      <w:r w:rsidR="002D1B4A" w:rsidRPr="007E19FB">
        <w:t xml:space="preserve">should </w:t>
      </w:r>
      <w:r w:rsidR="001C55A0" w:rsidRPr="007E19FB">
        <w:t xml:space="preserve">adapt </w:t>
      </w:r>
      <w:r w:rsidR="006F6E8A" w:rsidRPr="007E19FB">
        <w:t>the policy</w:t>
      </w:r>
      <w:r w:rsidR="00A15DFC" w:rsidRPr="007E19FB">
        <w:t xml:space="preserve"> so that it</w:t>
      </w:r>
      <w:r w:rsidR="00E316B3" w:rsidRPr="007E19FB">
        <w:t xml:space="preserve"> is suitable </w:t>
      </w:r>
      <w:r w:rsidR="00070D62" w:rsidRPr="007E19FB">
        <w:t>for</w:t>
      </w:r>
      <w:r w:rsidR="00E316B3" w:rsidRPr="007E19FB">
        <w:t xml:space="preserve"> the agency</w:t>
      </w:r>
      <w:r w:rsidR="00A5556F" w:rsidRPr="007E19FB">
        <w:t xml:space="preserve">’s </w:t>
      </w:r>
      <w:r w:rsidR="0034274D" w:rsidRPr="007E19FB">
        <w:t>context</w:t>
      </w:r>
      <w:r w:rsidR="002F4F92" w:rsidRPr="007E19FB">
        <w:t xml:space="preserve"> </w:t>
      </w:r>
      <w:r w:rsidR="005001ED" w:rsidRPr="007E19FB">
        <w:t xml:space="preserve">and </w:t>
      </w:r>
      <w:r w:rsidR="006C678D" w:rsidRPr="007E19FB">
        <w:t xml:space="preserve">aligns with the agency’s </w:t>
      </w:r>
      <w:r w:rsidR="001E042E" w:rsidRPr="007E19FB">
        <w:t xml:space="preserve">governance structures around </w:t>
      </w:r>
      <w:r w:rsidR="002F4F92" w:rsidRPr="007E19FB">
        <w:t xml:space="preserve">policy </w:t>
      </w:r>
      <w:r w:rsidR="00355B69" w:rsidRPr="007E19FB">
        <w:t>development.</w:t>
      </w:r>
      <w:r w:rsidR="002F4F92" w:rsidRPr="007E19FB">
        <w:t xml:space="preserve"> This means an agency should consider:</w:t>
      </w:r>
    </w:p>
    <w:p w14:paraId="7E94B43D" w14:textId="5357D9E8" w:rsidR="001E042E" w:rsidRPr="00FC7467" w:rsidRDefault="0067084B" w:rsidP="008969E6">
      <w:pPr>
        <w:pStyle w:val="ListParagraph"/>
        <w:numPr>
          <w:ilvl w:val="0"/>
          <w:numId w:val="5"/>
        </w:numPr>
      </w:pPr>
      <w:r w:rsidRPr="00FC7467">
        <w:t xml:space="preserve">the agency’s agreed format </w:t>
      </w:r>
      <w:r w:rsidR="00910443" w:rsidRPr="00FC7467">
        <w:t xml:space="preserve">and commonly used terms </w:t>
      </w:r>
      <w:r w:rsidRPr="00FC7467">
        <w:t>for internal policies</w:t>
      </w:r>
    </w:p>
    <w:p w14:paraId="72CE4CFE" w14:textId="6C4F6CD3" w:rsidR="0067084B" w:rsidRPr="00FC7467" w:rsidRDefault="00356846" w:rsidP="008969E6">
      <w:pPr>
        <w:pStyle w:val="ListParagraph"/>
        <w:numPr>
          <w:ilvl w:val="0"/>
          <w:numId w:val="5"/>
        </w:numPr>
      </w:pPr>
      <w:r w:rsidRPr="00FC7467">
        <w:t>the agency’s process for policy development (including consultation, approval and implementation)</w:t>
      </w:r>
    </w:p>
    <w:p w14:paraId="50231C16" w14:textId="473321EA" w:rsidR="00356846" w:rsidRPr="00FC7467" w:rsidRDefault="00356846" w:rsidP="008969E6">
      <w:pPr>
        <w:pStyle w:val="ListParagraph"/>
        <w:numPr>
          <w:ilvl w:val="0"/>
          <w:numId w:val="5"/>
        </w:numPr>
      </w:pPr>
      <w:r w:rsidRPr="00FC7467">
        <w:t>whether the</w:t>
      </w:r>
      <w:r w:rsidR="00CE0E88" w:rsidRPr="00FC7467">
        <w:t xml:space="preserve">re is anything unique to the agency that needs to be included in the PID policy but is not </w:t>
      </w:r>
      <w:r w:rsidR="0096488F" w:rsidRPr="00FC7467">
        <w:t>i</w:t>
      </w:r>
      <w:r w:rsidR="00CE0E88" w:rsidRPr="00FC7467">
        <w:t>n th</w:t>
      </w:r>
      <w:r w:rsidR="002D5D76" w:rsidRPr="00FC7467">
        <w:t>e</w:t>
      </w:r>
      <w:r w:rsidR="00CE0E88" w:rsidRPr="00FC7467">
        <w:t xml:space="preserve"> </w:t>
      </w:r>
      <w:r w:rsidR="00884D19" w:rsidRPr="00FC7467">
        <w:t>M</w:t>
      </w:r>
      <w:r w:rsidR="00CE0E88" w:rsidRPr="00FC7467">
        <w:t xml:space="preserve">odel </w:t>
      </w:r>
      <w:r w:rsidR="00884D19" w:rsidRPr="00FC7467">
        <w:t>P</w:t>
      </w:r>
      <w:r w:rsidR="00CE0E88" w:rsidRPr="00FC7467">
        <w:t>olicy</w:t>
      </w:r>
    </w:p>
    <w:p w14:paraId="60525263" w14:textId="315AC697" w:rsidR="00147FF0" w:rsidRPr="00FC7467" w:rsidRDefault="002406CE" w:rsidP="008969E6">
      <w:pPr>
        <w:pStyle w:val="ListParagraph"/>
        <w:numPr>
          <w:ilvl w:val="0"/>
          <w:numId w:val="5"/>
        </w:numPr>
      </w:pPr>
      <w:r w:rsidRPr="00FC7467">
        <w:t xml:space="preserve">the agency’s established processes for dealing with public interest </w:t>
      </w:r>
      <w:r w:rsidR="0008792F" w:rsidRPr="00FC7467">
        <w:t>disclosures</w:t>
      </w:r>
      <w:r w:rsidR="00FD4B65" w:rsidRPr="00FC7467">
        <w:t>.</w:t>
      </w:r>
    </w:p>
    <w:p w14:paraId="0DBE651F" w14:textId="0FA8ECCC" w:rsidR="004E242F" w:rsidRPr="007E19FB" w:rsidRDefault="004431A9" w:rsidP="0093701F">
      <w:pPr>
        <w:pStyle w:val="Heading2"/>
        <w:numPr>
          <w:ilvl w:val="0"/>
          <w:numId w:val="0"/>
        </w:numPr>
      </w:pPr>
      <w:bookmarkStart w:id="8" w:name="_Toc140251606"/>
      <w:bookmarkStart w:id="9" w:name="_Toc140251703"/>
      <w:r w:rsidRPr="007E19FB">
        <w:t>How to adapt th</w:t>
      </w:r>
      <w:r w:rsidR="002D5D76">
        <w:t>e</w:t>
      </w:r>
      <w:r w:rsidR="00D97FA5" w:rsidRPr="007E19FB">
        <w:t xml:space="preserve"> </w:t>
      </w:r>
      <w:r w:rsidR="002D5D76">
        <w:t>M</w:t>
      </w:r>
      <w:r w:rsidR="00D97FA5" w:rsidRPr="007E19FB">
        <w:t xml:space="preserve">odel </w:t>
      </w:r>
      <w:r w:rsidR="002D5D76">
        <w:t>P</w:t>
      </w:r>
      <w:r w:rsidR="00D97FA5" w:rsidRPr="007E19FB">
        <w:t xml:space="preserve">olicy </w:t>
      </w:r>
      <w:r w:rsidR="00C55141" w:rsidRPr="007E19FB">
        <w:t>to you</w:t>
      </w:r>
      <w:r w:rsidR="001C55A0" w:rsidRPr="007E19FB">
        <w:t>r</w:t>
      </w:r>
      <w:r w:rsidR="00C55141" w:rsidRPr="007E19FB">
        <w:t xml:space="preserve"> agency</w:t>
      </w:r>
      <w:r w:rsidR="009B6F49" w:rsidRPr="007E19FB">
        <w:t>’s needs</w:t>
      </w:r>
      <w:bookmarkEnd w:id="8"/>
      <w:bookmarkEnd w:id="9"/>
    </w:p>
    <w:p w14:paraId="610993B0" w14:textId="53996C5C" w:rsidR="00023776" w:rsidRPr="00147FF0" w:rsidRDefault="00F06865" w:rsidP="0093701F">
      <w:pPr>
        <w:pStyle w:val="Heading3"/>
      </w:pPr>
      <w:bookmarkStart w:id="10" w:name="_Toc140251607"/>
      <w:bookmarkStart w:id="11" w:name="_Toc140251704"/>
      <w:r w:rsidRPr="00147FF0">
        <w:t xml:space="preserve">Using the </w:t>
      </w:r>
      <w:r w:rsidR="00D97FA5" w:rsidRPr="00147FF0">
        <w:t>‘</w:t>
      </w:r>
      <w:r w:rsidR="00EB0D76" w:rsidRPr="00147FF0">
        <w:t>Guidance’</w:t>
      </w:r>
      <w:r w:rsidR="00D97FA5" w:rsidRPr="00147FF0">
        <w:t xml:space="preserve"> sections</w:t>
      </w:r>
      <w:r w:rsidR="00A16A7B" w:rsidRPr="00147FF0">
        <w:t xml:space="preserve"> throughout the </w:t>
      </w:r>
      <w:r w:rsidR="002D5D76" w:rsidRPr="00147FF0">
        <w:t>M</w:t>
      </w:r>
      <w:r w:rsidR="00A16A7B" w:rsidRPr="00147FF0">
        <w:t xml:space="preserve">odel </w:t>
      </w:r>
      <w:r w:rsidR="002D5D76" w:rsidRPr="00147FF0">
        <w:t>P</w:t>
      </w:r>
      <w:r w:rsidR="00A16A7B" w:rsidRPr="00147FF0">
        <w:t>olicy</w:t>
      </w:r>
      <w:bookmarkEnd w:id="10"/>
      <w:bookmarkEnd w:id="11"/>
    </w:p>
    <w:p w14:paraId="54093F98" w14:textId="3FDEF477" w:rsidR="001C55A0" w:rsidRPr="0093701F" w:rsidRDefault="00243A6B" w:rsidP="00DF4A14">
      <w:pPr>
        <w:pStyle w:val="BodyText"/>
      </w:pPr>
      <w:r w:rsidRPr="0093701F">
        <w:t xml:space="preserve">These sections contain </w:t>
      </w:r>
      <w:r w:rsidR="00415415" w:rsidRPr="0093701F">
        <w:t xml:space="preserve">drafting </w:t>
      </w:r>
      <w:r w:rsidRPr="0093701F">
        <w:t xml:space="preserve">guidance </w:t>
      </w:r>
      <w:r w:rsidR="00415415" w:rsidRPr="0093701F">
        <w:t>and</w:t>
      </w:r>
      <w:r w:rsidR="00AE628D" w:rsidRPr="0093701F">
        <w:t xml:space="preserve"> examples of</w:t>
      </w:r>
      <w:r w:rsidR="00977F28" w:rsidRPr="0093701F">
        <w:t xml:space="preserve"> </w:t>
      </w:r>
      <w:r w:rsidR="009C4D7E" w:rsidRPr="0093701F">
        <w:t xml:space="preserve">agency specific information </w:t>
      </w:r>
      <w:r w:rsidR="00AE628D" w:rsidRPr="0093701F">
        <w:t xml:space="preserve">that </w:t>
      </w:r>
      <w:r w:rsidR="009C4D7E" w:rsidRPr="0093701F">
        <w:t>should be included</w:t>
      </w:r>
      <w:r w:rsidR="00977F28" w:rsidRPr="0093701F">
        <w:t xml:space="preserve"> in each section of the policy</w:t>
      </w:r>
      <w:r w:rsidR="009C4D7E" w:rsidRPr="0093701F">
        <w:t>.</w:t>
      </w:r>
    </w:p>
    <w:p w14:paraId="33B34A3F" w14:textId="507A5E89" w:rsidR="00343695" w:rsidRPr="007E19FB" w:rsidRDefault="00AE628D" w:rsidP="00DF4A14">
      <w:pPr>
        <w:pStyle w:val="BodyText"/>
      </w:pPr>
      <w:r w:rsidRPr="007E19FB">
        <w:t xml:space="preserve">Agencies should consider </w:t>
      </w:r>
      <w:r w:rsidR="00F74358" w:rsidRPr="007E19FB">
        <w:t xml:space="preserve">existing </w:t>
      </w:r>
      <w:r w:rsidR="00E2358E" w:rsidRPr="007E19FB">
        <w:t xml:space="preserve">relevant policies and </w:t>
      </w:r>
      <w:r w:rsidR="00F74358" w:rsidRPr="007E19FB">
        <w:t xml:space="preserve">procedures </w:t>
      </w:r>
      <w:r w:rsidR="00E2358E" w:rsidRPr="007E19FB">
        <w:t>within the agency when adapting th</w:t>
      </w:r>
      <w:r w:rsidR="00953E53">
        <w:t>e</w:t>
      </w:r>
      <w:r w:rsidR="00E2358E" w:rsidRPr="007E19FB">
        <w:t xml:space="preserve"> </w:t>
      </w:r>
      <w:r w:rsidR="00953E53">
        <w:t>M</w:t>
      </w:r>
      <w:r w:rsidR="00E2358E" w:rsidRPr="007E19FB">
        <w:t xml:space="preserve">odel </w:t>
      </w:r>
      <w:r w:rsidR="00953E53">
        <w:t>P</w:t>
      </w:r>
      <w:r w:rsidR="00E2358E" w:rsidRPr="007E19FB">
        <w:t>olicy.</w:t>
      </w:r>
    </w:p>
    <w:p w14:paraId="005BA72E" w14:textId="0189994C" w:rsidR="00F06865" w:rsidRPr="007E19FB" w:rsidRDefault="003008BD" w:rsidP="00DF4A14">
      <w:pPr>
        <w:pStyle w:val="BodyText"/>
      </w:pPr>
      <w:r w:rsidRPr="007E19FB">
        <w:t xml:space="preserve">Agencies </w:t>
      </w:r>
      <w:r w:rsidR="00E2358E" w:rsidRPr="007E19FB">
        <w:t xml:space="preserve">should also consider </w:t>
      </w:r>
      <w:r w:rsidR="00343695" w:rsidRPr="007E19FB">
        <w:t xml:space="preserve">their staff and relevant </w:t>
      </w:r>
      <w:r w:rsidR="005626B9" w:rsidRPr="007E19FB">
        <w:t xml:space="preserve">volunteers, subcontractors and </w:t>
      </w:r>
      <w:r w:rsidR="00343695" w:rsidRPr="007E19FB">
        <w:t xml:space="preserve">contractors to whom </w:t>
      </w:r>
      <w:r w:rsidR="000E3DEF" w:rsidRPr="007E19FB">
        <w:t>th</w:t>
      </w:r>
      <w:r w:rsidR="00953E53">
        <w:t>eir</w:t>
      </w:r>
      <w:r w:rsidR="000E3DEF" w:rsidRPr="007E19FB">
        <w:t xml:space="preserve"> policy </w:t>
      </w:r>
      <w:r w:rsidR="00953E53">
        <w:t xml:space="preserve">will </w:t>
      </w:r>
      <w:r w:rsidR="000E3DEF" w:rsidRPr="007E19FB">
        <w:t>appl</w:t>
      </w:r>
      <w:r w:rsidR="00953E53">
        <w:t>y</w:t>
      </w:r>
      <w:r w:rsidR="000E3DEF" w:rsidRPr="007E19FB">
        <w:t xml:space="preserve"> and ensure the language used in the PID policy will make sense to those people</w:t>
      </w:r>
      <w:r w:rsidR="00343695" w:rsidRPr="007E19FB">
        <w:t xml:space="preserve">. This is an opportunity for agencies to </w:t>
      </w:r>
      <w:r w:rsidR="00E13117" w:rsidRPr="007E19FB">
        <w:t>add</w:t>
      </w:r>
      <w:r w:rsidR="007D1F35" w:rsidRPr="007E19FB">
        <w:t xml:space="preserve"> agency specific information that might assist </w:t>
      </w:r>
      <w:r w:rsidR="005626B9" w:rsidRPr="007E19FB">
        <w:t>the PID policy to be well understood, adopted and appropriately applied.</w:t>
      </w:r>
    </w:p>
    <w:p w14:paraId="14C8BF46" w14:textId="16CA9ED3" w:rsidR="00F06865" w:rsidRPr="00147FF0" w:rsidRDefault="002C5A86" w:rsidP="0093701F">
      <w:pPr>
        <w:pStyle w:val="Heading3"/>
      </w:pPr>
      <w:bookmarkStart w:id="12" w:name="_Toc140251608"/>
      <w:bookmarkStart w:id="13" w:name="_Toc140251705"/>
      <w:r w:rsidRPr="00147FF0">
        <w:t xml:space="preserve">Aligning </w:t>
      </w:r>
      <w:r w:rsidR="00F06865" w:rsidRPr="00147FF0">
        <w:t xml:space="preserve">the PID policy </w:t>
      </w:r>
      <w:r w:rsidRPr="00147FF0">
        <w:t xml:space="preserve">with </w:t>
      </w:r>
      <w:r w:rsidR="00F06865" w:rsidRPr="00147FF0">
        <w:t xml:space="preserve">other </w:t>
      </w:r>
      <w:r w:rsidRPr="00147FF0">
        <w:t xml:space="preserve">relevant </w:t>
      </w:r>
      <w:r w:rsidR="00F06865" w:rsidRPr="00147FF0">
        <w:t>agency policies</w:t>
      </w:r>
      <w:bookmarkEnd w:id="12"/>
      <w:bookmarkEnd w:id="13"/>
    </w:p>
    <w:p w14:paraId="67F246CF" w14:textId="763BD08E" w:rsidR="00DF156C" w:rsidRPr="007E19FB" w:rsidRDefault="001668D8" w:rsidP="00DF4A14">
      <w:pPr>
        <w:pStyle w:val="BodyText"/>
      </w:pPr>
      <w:r w:rsidRPr="007E19FB">
        <w:t xml:space="preserve">The PID policy </w:t>
      </w:r>
      <w:r w:rsidR="00CC33B8" w:rsidRPr="007E19FB">
        <w:t xml:space="preserve">will be one of a </w:t>
      </w:r>
      <w:r w:rsidR="003E453D" w:rsidRPr="007E19FB">
        <w:t xml:space="preserve">suite of internal policy and procedures that an agency may have on how </w:t>
      </w:r>
      <w:r w:rsidR="00611883" w:rsidRPr="007E19FB">
        <w:t>it</w:t>
      </w:r>
      <w:r w:rsidR="003E453D" w:rsidRPr="007E19FB">
        <w:t xml:space="preserve"> deal</w:t>
      </w:r>
      <w:r w:rsidR="00611883" w:rsidRPr="007E19FB">
        <w:t>s</w:t>
      </w:r>
      <w:r w:rsidR="003E453D" w:rsidRPr="007E19FB">
        <w:t xml:space="preserve"> with </w:t>
      </w:r>
      <w:r w:rsidR="00611883" w:rsidRPr="007E19FB">
        <w:t>misconduct matters, internal grievances and complaints, integrity issues and code of conduct issues.</w:t>
      </w:r>
    </w:p>
    <w:p w14:paraId="7AD926E0" w14:textId="6FBCBD00" w:rsidR="00F06865" w:rsidRPr="007E19FB" w:rsidRDefault="00DF156C" w:rsidP="00DF4A14">
      <w:pPr>
        <w:pStyle w:val="BodyText"/>
      </w:pPr>
      <w:r w:rsidRPr="007E19FB">
        <w:t>When adopting th</w:t>
      </w:r>
      <w:r w:rsidR="00DB4B74">
        <w:t>e</w:t>
      </w:r>
      <w:r w:rsidRPr="007E19FB">
        <w:t xml:space="preserve"> </w:t>
      </w:r>
      <w:r w:rsidR="00DB4B74">
        <w:t>M</w:t>
      </w:r>
      <w:r w:rsidRPr="007E19FB">
        <w:t xml:space="preserve">odel </w:t>
      </w:r>
      <w:r w:rsidR="00DB4B74">
        <w:t>P</w:t>
      </w:r>
      <w:r w:rsidRPr="007E19FB">
        <w:t xml:space="preserve">olicy, agencies should ensure </w:t>
      </w:r>
      <w:r w:rsidR="0038705F" w:rsidRPr="007E19FB">
        <w:t>all relevant policies are aligned, consistent and use common language</w:t>
      </w:r>
      <w:r w:rsidR="001978D5">
        <w:t xml:space="preserve"> where possible</w:t>
      </w:r>
      <w:r w:rsidR="0038705F" w:rsidRPr="007E19FB">
        <w:t>.</w:t>
      </w:r>
    </w:p>
    <w:p w14:paraId="07EF2E4C" w14:textId="3D0556DF" w:rsidR="00A16A7B" w:rsidRPr="00147FF0" w:rsidRDefault="009301FA" w:rsidP="0093701F">
      <w:pPr>
        <w:pStyle w:val="Heading3"/>
      </w:pPr>
      <w:bookmarkStart w:id="14" w:name="_Toc140251609"/>
      <w:bookmarkStart w:id="15" w:name="_Toc140251706"/>
      <w:r w:rsidRPr="00147FF0">
        <w:t xml:space="preserve">Arrangements for </w:t>
      </w:r>
      <w:r w:rsidR="004E5DCD" w:rsidRPr="00147FF0">
        <w:t xml:space="preserve">other agencies or entities to exercise </w:t>
      </w:r>
      <w:r w:rsidR="009730B7" w:rsidRPr="00147FF0">
        <w:t>an agency’s</w:t>
      </w:r>
      <w:r w:rsidR="004E5DCD" w:rsidRPr="00147FF0">
        <w:t xml:space="preserve"> PID</w:t>
      </w:r>
      <w:r w:rsidRPr="00147FF0">
        <w:t xml:space="preserve"> </w:t>
      </w:r>
      <w:r w:rsidR="004958A1" w:rsidRPr="00147FF0">
        <w:t>functions</w:t>
      </w:r>
      <w:bookmarkEnd w:id="14"/>
      <w:bookmarkEnd w:id="15"/>
    </w:p>
    <w:p w14:paraId="46037B69" w14:textId="77777777" w:rsidR="008072FF" w:rsidRPr="0093701F" w:rsidRDefault="00A2049E" w:rsidP="00DF4A14">
      <w:pPr>
        <w:pStyle w:val="BodyText"/>
      </w:pPr>
      <w:r w:rsidRPr="0093701F">
        <w:t>Under s</w:t>
      </w:r>
      <w:r w:rsidR="00F9556C" w:rsidRPr="0093701F">
        <w:t>ection</w:t>
      </w:r>
      <w:r w:rsidRPr="0093701F">
        <w:t xml:space="preserve"> 8</w:t>
      </w:r>
      <w:r w:rsidR="00673ACE" w:rsidRPr="0093701F">
        <w:t>1</w:t>
      </w:r>
      <w:r w:rsidRPr="0093701F">
        <w:t xml:space="preserve"> of the PID Act, </w:t>
      </w:r>
      <w:r w:rsidR="00673ACE" w:rsidRPr="0093701F">
        <w:t xml:space="preserve">an agency </w:t>
      </w:r>
      <w:r w:rsidR="00BF2027" w:rsidRPr="0093701F">
        <w:t>can arrange for</w:t>
      </w:r>
      <w:r w:rsidR="00F05686" w:rsidRPr="0093701F">
        <w:t>:</w:t>
      </w:r>
    </w:p>
    <w:p w14:paraId="2B26C007" w14:textId="10E29057" w:rsidR="008F7491" w:rsidRPr="00FA2AB1" w:rsidRDefault="00BF2027" w:rsidP="005E54EC">
      <w:pPr>
        <w:pStyle w:val="ListParagraph"/>
      </w:pPr>
      <w:r w:rsidRPr="00FA2AB1">
        <w:t>another agency</w:t>
      </w:r>
      <w:r w:rsidR="00985F7E" w:rsidRPr="00FA2AB1">
        <w:t xml:space="preserve"> to exercise its functions under the Act on behalf of the agency</w:t>
      </w:r>
    </w:p>
    <w:p w14:paraId="27704414" w14:textId="3C0D4399" w:rsidR="00B45DEF" w:rsidRPr="00DF4A14" w:rsidRDefault="008F7491" w:rsidP="005E54EC">
      <w:pPr>
        <w:pStyle w:val="ListParagraph"/>
      </w:pPr>
      <w:r w:rsidRPr="00FA2AB1">
        <w:t>a</w:t>
      </w:r>
      <w:r w:rsidR="00774FC2" w:rsidRPr="00FA2AB1">
        <w:t>n entity, which</w:t>
      </w:r>
      <w:r w:rsidR="00774FC2" w:rsidRPr="00DF4A14">
        <w:t xml:space="preserve"> is not an agency, </w:t>
      </w:r>
      <w:r w:rsidR="009730B7" w:rsidRPr="00DF4A14">
        <w:t xml:space="preserve">to exercise some or all of the </w:t>
      </w:r>
      <w:r w:rsidR="00B45DEF" w:rsidRPr="00DF4A14">
        <w:t xml:space="preserve">following functions </w:t>
      </w:r>
      <w:r w:rsidR="00147FF0" w:rsidRPr="00DF4A14">
        <w:t xml:space="preserve">or responsibilities </w:t>
      </w:r>
      <w:r w:rsidR="00B45DEF" w:rsidRPr="00DF4A14">
        <w:t xml:space="preserve">on </w:t>
      </w:r>
      <w:r w:rsidR="00F723FE" w:rsidRPr="00DF4A14">
        <w:t>its</w:t>
      </w:r>
      <w:r w:rsidR="00B45DEF" w:rsidRPr="00DF4A14">
        <w:t xml:space="preserve"> behalf:</w:t>
      </w:r>
    </w:p>
    <w:p w14:paraId="1A8444ED" w14:textId="5EC81F96" w:rsidR="00F723FE" w:rsidRPr="00DF4A14" w:rsidRDefault="00147FF0" w:rsidP="00E3369E">
      <w:pPr>
        <w:pStyle w:val="ListBullet2"/>
      </w:pPr>
      <w:r w:rsidRPr="00DF4A14">
        <w:t>t</w:t>
      </w:r>
      <w:r w:rsidR="00F723FE" w:rsidRPr="00DF4A14">
        <w:t>he function of receiving voluntary PIDs</w:t>
      </w:r>
    </w:p>
    <w:p w14:paraId="37542EAC" w14:textId="042A7E5C" w:rsidR="00F723FE" w:rsidRPr="00DF4A14" w:rsidRDefault="007219A1" w:rsidP="00E3369E">
      <w:pPr>
        <w:pStyle w:val="ListBullet2"/>
      </w:pPr>
      <w:r w:rsidRPr="00DF4A14">
        <w:t>t</w:t>
      </w:r>
      <w:r w:rsidR="009301FA" w:rsidRPr="00DF4A14">
        <w:t xml:space="preserve">he function of dealing with voluntary PIDs through </w:t>
      </w:r>
      <w:r w:rsidR="00AE3ACF" w:rsidRPr="00DF4A14">
        <w:t>investigation</w:t>
      </w:r>
    </w:p>
    <w:p w14:paraId="6842B15E" w14:textId="6D3E4717" w:rsidR="0051280B" w:rsidRPr="00DF4A14" w:rsidRDefault="007219A1" w:rsidP="00E3369E">
      <w:pPr>
        <w:pStyle w:val="ListBullet2"/>
      </w:pPr>
      <w:r w:rsidRPr="00DF4A14">
        <w:t>t</w:t>
      </w:r>
      <w:r w:rsidR="0051280B" w:rsidRPr="00DF4A14">
        <w:t>he agency’s responsibilities to ensure their staff are trained under the PID Act</w:t>
      </w:r>
      <w:r w:rsidR="00906B29" w:rsidRPr="00DF4A14">
        <w:t>.</w:t>
      </w:r>
    </w:p>
    <w:p w14:paraId="74F0B81E" w14:textId="2CDBE877" w:rsidR="0014594C" w:rsidRPr="0014594C" w:rsidRDefault="00592B24" w:rsidP="00DF4A14">
      <w:pPr>
        <w:pStyle w:val="BodyText"/>
      </w:pPr>
      <w:r w:rsidRPr="0014594C">
        <w:lastRenderedPageBreak/>
        <w:t>These details must be published prominently on the agenc</w:t>
      </w:r>
      <w:r w:rsidR="007219A1">
        <w:t>y’</w:t>
      </w:r>
      <w:r w:rsidRPr="0014594C">
        <w:t>s website</w:t>
      </w:r>
      <w:r w:rsidR="0052652D" w:rsidRPr="0014594C">
        <w:t xml:space="preserve"> and intranet, and notification of them given to the</w:t>
      </w:r>
      <w:r w:rsidR="00BF3A15">
        <w:t xml:space="preserve"> NSW</w:t>
      </w:r>
      <w:r w:rsidR="0052652D" w:rsidRPr="0014594C">
        <w:t xml:space="preserve"> Ombudsman</w:t>
      </w:r>
      <w:r w:rsidR="007219A1">
        <w:t>.</w:t>
      </w:r>
      <w:r w:rsidR="007219A1">
        <w:rPr>
          <w:rStyle w:val="FootnoteReference"/>
          <w:rFonts w:ascii="Arial" w:hAnsi="Arial" w:cs="Arial"/>
        </w:rPr>
        <w:footnoteReference w:id="2"/>
      </w:r>
    </w:p>
    <w:p w14:paraId="08D678D1" w14:textId="086DB4BA" w:rsidR="00602268" w:rsidRPr="00084B45" w:rsidRDefault="0014594C" w:rsidP="00DF4A14">
      <w:pPr>
        <w:pStyle w:val="BodyText"/>
      </w:pPr>
      <w:r w:rsidRPr="0014594C">
        <w:t xml:space="preserve">An agency </w:t>
      </w:r>
      <w:r w:rsidR="00526CB9">
        <w:t>can only enter into an arrangement with an entity that is not an agency if the arrangement is ‘in accordance’</w:t>
      </w:r>
      <w:r w:rsidR="006854BF">
        <w:t xml:space="preserve"> with its PID policy.</w:t>
      </w:r>
      <w:r w:rsidR="00602268">
        <w:rPr>
          <w:rStyle w:val="FootnoteReference"/>
          <w:rFonts w:ascii="Arial" w:hAnsi="Arial" w:cs="Arial"/>
        </w:rPr>
        <w:footnoteReference w:id="3"/>
      </w:r>
      <w:r w:rsidR="006854BF">
        <w:t xml:space="preserve"> This means that the arrangement</w:t>
      </w:r>
      <w:r w:rsidR="00DE6634">
        <w:t>s must be clearly provided for in the policy.</w:t>
      </w:r>
      <w:r w:rsidR="00602268" w:rsidRPr="00084B45">
        <w:br w:type="page"/>
      </w:r>
    </w:p>
    <w:p w14:paraId="22B601B6" w14:textId="2D20755E" w:rsidR="00EF53A3" w:rsidRPr="00833509" w:rsidRDefault="00BF3461" w:rsidP="00CD686C">
      <w:pPr>
        <w:pStyle w:val="Heading2"/>
        <w:numPr>
          <w:ilvl w:val="0"/>
          <w:numId w:val="0"/>
        </w:numPr>
        <w:spacing w:line="216" w:lineRule="auto"/>
        <w:ind w:right="-164"/>
      </w:pPr>
      <w:bookmarkStart w:id="16" w:name="_Toc140251610"/>
      <w:bookmarkStart w:id="17" w:name="_Toc140251707"/>
      <w:r>
        <w:lastRenderedPageBreak/>
        <w:t>S</w:t>
      </w:r>
      <w:r w:rsidR="007338FD">
        <w:t>ummary of what</w:t>
      </w:r>
      <w:r w:rsidR="007338FD" w:rsidRPr="00833509">
        <w:t xml:space="preserve"> </w:t>
      </w:r>
      <w:r w:rsidR="00B23B2D" w:rsidRPr="00833509">
        <w:t>must be included in an agency’s PID policy</w:t>
      </w:r>
      <w:bookmarkEnd w:id="16"/>
      <w:bookmarkEnd w:id="17"/>
    </w:p>
    <w:p w14:paraId="42FB2200" w14:textId="4E1440B6" w:rsidR="00DB7A7F" w:rsidRPr="009E1DE0" w:rsidRDefault="00880535" w:rsidP="00CD686C">
      <w:pPr>
        <w:pStyle w:val="BodyText"/>
        <w:ind w:right="-306"/>
        <w:rPr>
          <w:lang w:eastAsia="en-AU"/>
        </w:rPr>
      </w:pPr>
      <w:r>
        <w:rPr>
          <w:lang w:eastAsia="en-AU"/>
        </w:rPr>
        <w:t>If an agency</w:t>
      </w:r>
      <w:r w:rsidR="00214200">
        <w:rPr>
          <w:lang w:eastAsia="en-AU"/>
        </w:rPr>
        <w:t xml:space="preserve"> chooses to</w:t>
      </w:r>
      <w:r>
        <w:rPr>
          <w:lang w:eastAsia="en-AU"/>
        </w:rPr>
        <w:t xml:space="preserve"> </w:t>
      </w:r>
      <w:r w:rsidR="00214200">
        <w:rPr>
          <w:lang w:eastAsia="en-AU"/>
        </w:rPr>
        <w:t xml:space="preserve">develop its own PID policy it </w:t>
      </w:r>
      <w:r w:rsidR="00CD148E">
        <w:rPr>
          <w:lang w:eastAsia="en-AU"/>
        </w:rPr>
        <w:t>must ensure</w:t>
      </w:r>
      <w:r w:rsidR="00214200">
        <w:rPr>
          <w:lang w:eastAsia="en-AU"/>
        </w:rPr>
        <w:t xml:space="preserve"> that the policy</w:t>
      </w:r>
      <w:r w:rsidR="00EE11A2">
        <w:rPr>
          <w:lang w:eastAsia="en-AU"/>
        </w:rPr>
        <w:t xml:space="preserve"> include</w:t>
      </w:r>
      <w:r w:rsidR="00CD148E">
        <w:rPr>
          <w:lang w:eastAsia="en-AU"/>
        </w:rPr>
        <w:t>s</w:t>
      </w:r>
      <w:r w:rsidR="00EE11A2">
        <w:rPr>
          <w:lang w:eastAsia="en-AU"/>
        </w:rPr>
        <w:t xml:space="preserve"> the </w:t>
      </w:r>
      <w:r w:rsidR="00CD148E">
        <w:rPr>
          <w:lang w:eastAsia="en-AU"/>
        </w:rPr>
        <w:t>mandatory information</w:t>
      </w:r>
      <w:r w:rsidR="00EE11A2">
        <w:rPr>
          <w:lang w:eastAsia="en-AU"/>
        </w:rPr>
        <w:t xml:space="preserve"> and </w:t>
      </w:r>
      <w:r w:rsidR="00CD148E">
        <w:rPr>
          <w:lang w:eastAsia="en-AU"/>
        </w:rPr>
        <w:t>procedures</w:t>
      </w:r>
      <w:r w:rsidR="00EE11A2">
        <w:rPr>
          <w:lang w:eastAsia="en-AU"/>
        </w:rPr>
        <w:t xml:space="preserve"> </w:t>
      </w:r>
      <w:r w:rsidR="00CD148E">
        <w:rPr>
          <w:lang w:eastAsia="en-AU"/>
        </w:rPr>
        <w:t>outlined in s</w:t>
      </w:r>
      <w:r w:rsidR="00930466">
        <w:rPr>
          <w:lang w:eastAsia="en-AU"/>
        </w:rPr>
        <w:t>ection</w:t>
      </w:r>
      <w:r w:rsidR="00CD148E">
        <w:rPr>
          <w:lang w:eastAsia="en-AU"/>
        </w:rPr>
        <w:t xml:space="preserve"> 43 of the PID Act</w:t>
      </w:r>
      <w:r w:rsidR="00605844">
        <w:rPr>
          <w:lang w:eastAsia="en-AU"/>
        </w:rPr>
        <w:t xml:space="preserve">, and that it is developed having regard to relevant </w:t>
      </w:r>
      <w:r w:rsidR="00317C1E">
        <w:rPr>
          <w:lang w:eastAsia="en-AU"/>
        </w:rPr>
        <w:t>Ombudsman’s guidelines</w:t>
      </w:r>
      <w:r w:rsidR="00D117C9">
        <w:rPr>
          <w:lang w:eastAsia="en-AU"/>
        </w:rPr>
        <w:t>.</w:t>
      </w:r>
    </w:p>
    <w:tbl>
      <w:tblPr>
        <w:tblW w:w="89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4"/>
        <w:gridCol w:w="5812"/>
      </w:tblGrid>
      <w:tr w:rsidR="00B234A3" w:rsidRPr="003432C5" w14:paraId="556F691D" w14:textId="557692E1" w:rsidTr="009E1DE0">
        <w:trPr>
          <w:trHeight w:val="300"/>
        </w:trPr>
        <w:tc>
          <w:tcPr>
            <w:tcW w:w="3114" w:type="dxa"/>
            <w:tcBorders>
              <w:top w:val="single" w:sz="4" w:space="0" w:color="0A4047"/>
              <w:left w:val="single" w:sz="4" w:space="0" w:color="0A4047"/>
              <w:bottom w:val="nil"/>
              <w:right w:val="single" w:sz="4" w:space="0" w:color="FFFFFF" w:themeColor="background1"/>
            </w:tcBorders>
            <w:shd w:val="clear" w:color="auto" w:fill="0A4047"/>
            <w:hideMark/>
          </w:tcPr>
          <w:p w14:paraId="1B248ED4" w14:textId="50150671" w:rsidR="00B234A3" w:rsidRPr="00833509" w:rsidRDefault="00B234A3" w:rsidP="00DF4A14">
            <w:pPr>
              <w:pStyle w:val="Tableheadingtext"/>
              <w:ind w:left="113"/>
              <w:rPr>
                <w:rFonts w:ascii="Times New Roman" w:hAnsi="Times New Roman"/>
                <w:sz w:val="24"/>
                <w:szCs w:val="24"/>
              </w:rPr>
            </w:pPr>
            <w:r w:rsidRPr="00833509">
              <w:t>Topic</w:t>
            </w:r>
          </w:p>
        </w:tc>
        <w:tc>
          <w:tcPr>
            <w:tcW w:w="5812" w:type="dxa"/>
            <w:tcBorders>
              <w:top w:val="single" w:sz="6" w:space="0" w:color="0A4047"/>
              <w:left w:val="single" w:sz="4" w:space="0" w:color="FFFFFF" w:themeColor="background1"/>
              <w:bottom w:val="nil"/>
              <w:right w:val="single" w:sz="6" w:space="0" w:color="0A4047"/>
            </w:tcBorders>
            <w:shd w:val="clear" w:color="auto" w:fill="0A4047"/>
            <w:hideMark/>
          </w:tcPr>
          <w:p w14:paraId="64882139" w14:textId="31806EB5" w:rsidR="00B234A3" w:rsidRPr="003432C5" w:rsidRDefault="00B234A3" w:rsidP="00DF4A14">
            <w:pPr>
              <w:pStyle w:val="Tableheadingtext"/>
              <w:ind w:left="113"/>
              <w:rPr>
                <w:rFonts w:ascii="Times New Roman" w:hAnsi="Times New Roman"/>
                <w:sz w:val="24"/>
                <w:szCs w:val="24"/>
              </w:rPr>
            </w:pPr>
            <w:r>
              <w:t>Procedures</w:t>
            </w:r>
            <w:r w:rsidRPr="003432C5">
              <w:t xml:space="preserve"> t</w:t>
            </w:r>
            <w:r>
              <w:t>hat must</w:t>
            </w:r>
            <w:r w:rsidRPr="003432C5">
              <w:t xml:space="preserve"> be included in an agency’s PID policy </w:t>
            </w:r>
          </w:p>
        </w:tc>
      </w:tr>
      <w:tr w:rsidR="00B234A3" w:rsidRPr="003432C5" w14:paraId="393702AF" w14:textId="77777777" w:rsidTr="009E1DE0">
        <w:trPr>
          <w:trHeight w:val="300"/>
        </w:trPr>
        <w:tc>
          <w:tcPr>
            <w:tcW w:w="3114" w:type="dxa"/>
            <w:tcBorders>
              <w:top w:val="nil"/>
              <w:left w:val="single" w:sz="4" w:space="0" w:color="0A4047"/>
              <w:bottom w:val="single" w:sz="4" w:space="0" w:color="0A4047"/>
              <w:right w:val="single" w:sz="4" w:space="0" w:color="0A4047"/>
            </w:tcBorders>
            <w:shd w:val="clear" w:color="auto" w:fill="auto"/>
          </w:tcPr>
          <w:p w14:paraId="3A19C623" w14:textId="183F9854" w:rsidR="00B234A3" w:rsidRPr="00833509" w:rsidRDefault="00B234A3" w:rsidP="009E1DE0">
            <w:pPr>
              <w:pStyle w:val="tablelefttext"/>
              <w:ind w:left="113" w:right="57"/>
            </w:pPr>
            <w:r w:rsidRPr="00833509">
              <w:t>Acknowledging receipt of voluntary PIDs, providing information to makers of voluntary PIDs and d</w:t>
            </w:r>
            <w:r w:rsidRPr="008B116D">
              <w:t>ealing with voluntary PIDs</w:t>
            </w:r>
          </w:p>
          <w:p w14:paraId="16770CF6" w14:textId="527534A5" w:rsidR="00B234A3" w:rsidRDefault="00B234A3" w:rsidP="009E1DE0">
            <w:pPr>
              <w:pStyle w:val="tablelefttext"/>
              <w:ind w:left="113" w:right="57"/>
            </w:pPr>
            <w:r w:rsidRPr="008B116D">
              <w:t>(s 43(1)(a)</w:t>
            </w:r>
            <w:r>
              <w:t>–</w:t>
            </w:r>
            <w:r w:rsidRPr="008B116D">
              <w:t>(b))</w:t>
            </w:r>
          </w:p>
        </w:tc>
        <w:tc>
          <w:tcPr>
            <w:tcW w:w="5812" w:type="dxa"/>
            <w:tcBorders>
              <w:top w:val="nil"/>
              <w:left w:val="single" w:sz="4" w:space="0" w:color="0A4047"/>
              <w:bottom w:val="single" w:sz="6" w:space="0" w:color="auto"/>
              <w:right w:val="single" w:sz="6" w:space="0" w:color="auto"/>
            </w:tcBorders>
            <w:shd w:val="clear" w:color="auto" w:fill="auto"/>
          </w:tcPr>
          <w:p w14:paraId="782F8282" w14:textId="77777777" w:rsidR="00B234A3" w:rsidRPr="003432C5" w:rsidRDefault="00B234A3" w:rsidP="00C66C0C">
            <w:pPr>
              <w:pStyle w:val="tablerightstyle"/>
              <w:spacing w:after="60"/>
              <w:ind w:left="113"/>
              <w:rPr>
                <w:rFonts w:ascii="Times New Roman" w:hAnsi="Times New Roman"/>
                <w:sz w:val="24"/>
                <w:szCs w:val="24"/>
              </w:rPr>
            </w:pPr>
            <w:r>
              <w:t>S</w:t>
            </w:r>
            <w:r w:rsidRPr="003432C5">
              <w:t>pecify procedures for:    </w:t>
            </w:r>
          </w:p>
          <w:p w14:paraId="4A55D1B9" w14:textId="77777777" w:rsidR="00B234A3" w:rsidRDefault="00B234A3" w:rsidP="00CD686C">
            <w:pPr>
              <w:pStyle w:val="tablerightbullets"/>
            </w:pPr>
            <w:r w:rsidRPr="002A04A1">
              <w:t>acknowledging receipt of voluntary PIDs</w:t>
            </w:r>
          </w:p>
          <w:p w14:paraId="51AEB9C6" w14:textId="1C6C0C93" w:rsidR="00B234A3" w:rsidRPr="002A04A1" w:rsidRDefault="00B234A3" w:rsidP="00CD686C">
            <w:pPr>
              <w:pStyle w:val="tablerightbullets"/>
            </w:pPr>
            <w:r w:rsidRPr="002A04A1">
              <w:t>providing information to the makers of voluntary PIDs</w:t>
            </w:r>
          </w:p>
          <w:p w14:paraId="7038EE1D" w14:textId="4D8E768C" w:rsidR="00B234A3" w:rsidRPr="0093701F" w:rsidRDefault="00B234A3" w:rsidP="00CD686C">
            <w:pPr>
              <w:pStyle w:val="tablerightbullets"/>
            </w:pPr>
            <w:r w:rsidRPr="007325F5">
              <w:t>dealing with disclosures that are or may be voluntary PIDs</w:t>
            </w:r>
            <w:r>
              <w:t>.</w:t>
            </w:r>
          </w:p>
        </w:tc>
      </w:tr>
      <w:tr w:rsidR="00B234A3" w:rsidRPr="003432C5" w14:paraId="03FF873C" w14:textId="77777777" w:rsidTr="009E1DE0">
        <w:trPr>
          <w:trHeight w:val="300"/>
        </w:trPr>
        <w:tc>
          <w:tcPr>
            <w:tcW w:w="3114" w:type="dxa"/>
            <w:tcBorders>
              <w:top w:val="single" w:sz="4" w:space="0" w:color="0A4047"/>
              <w:left w:val="single" w:sz="6" w:space="0" w:color="auto"/>
              <w:bottom w:val="single" w:sz="6" w:space="0" w:color="auto"/>
              <w:right w:val="single" w:sz="6" w:space="0" w:color="auto"/>
            </w:tcBorders>
            <w:shd w:val="clear" w:color="auto" w:fill="auto"/>
          </w:tcPr>
          <w:p w14:paraId="08550E76" w14:textId="77777777" w:rsidR="00B234A3" w:rsidRDefault="00B234A3" w:rsidP="009E1DE0">
            <w:pPr>
              <w:pStyle w:val="tablelefttext"/>
              <w:ind w:left="113" w:right="57"/>
            </w:pPr>
            <w:r>
              <w:t>Risk management</w:t>
            </w:r>
          </w:p>
          <w:p w14:paraId="2D500D81" w14:textId="42188442" w:rsidR="00B234A3" w:rsidRPr="00BD1712" w:rsidRDefault="00B234A3" w:rsidP="009E1DE0">
            <w:pPr>
              <w:pStyle w:val="tablelefttext"/>
              <w:ind w:left="113" w:right="57"/>
            </w:pPr>
            <w:r>
              <w:t>(s 43(1)(c))</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7322EBE5" w14:textId="3AD7886B" w:rsidR="00B234A3" w:rsidRDefault="00B234A3" w:rsidP="009E1DE0">
            <w:pPr>
              <w:pStyle w:val="tablerightstyle"/>
              <w:ind w:left="113" w:right="57"/>
            </w:pPr>
            <w:r>
              <w:t xml:space="preserve">Detail the </w:t>
            </w:r>
            <w:r w:rsidRPr="003E5401">
              <w:t>agency’s procedures for assessing and minimising the risk of detrimental action, other than reasonable management action, being taken against a person as a result of a voluntary PID being made</w:t>
            </w:r>
            <w:r>
              <w:t>.</w:t>
            </w:r>
          </w:p>
        </w:tc>
      </w:tr>
      <w:tr w:rsidR="00B234A3" w14:paraId="5B97A249"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tcPr>
          <w:p w14:paraId="0678D0BC" w14:textId="77777777" w:rsidR="00B234A3" w:rsidRDefault="00B234A3" w:rsidP="009E1DE0">
            <w:pPr>
              <w:pStyle w:val="tablelefttext"/>
              <w:ind w:left="113" w:right="57"/>
            </w:pPr>
            <w:r>
              <w:t xml:space="preserve">Detrimental action </w:t>
            </w:r>
          </w:p>
          <w:p w14:paraId="63EC7012" w14:textId="77777777" w:rsidR="00B234A3" w:rsidRDefault="00B234A3" w:rsidP="009E1DE0">
            <w:pPr>
              <w:pStyle w:val="tablelefttext"/>
              <w:ind w:left="113" w:right="57"/>
            </w:pPr>
            <w:r>
              <w:t>(s 43(1)(d))</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54D124E5" w14:textId="0BA4C3C0" w:rsidR="00B234A3" w:rsidRDefault="00B234A3" w:rsidP="009E1DE0">
            <w:pPr>
              <w:pStyle w:val="tablerightstyle"/>
              <w:ind w:left="113" w:right="57"/>
            </w:pPr>
            <w:r>
              <w:t>Detail the</w:t>
            </w:r>
            <w:r w:rsidRPr="003E5401">
              <w:t xml:space="preserve"> agency’s procedures for dealing with allegations</w:t>
            </w:r>
            <w:r>
              <w:t xml:space="preserve"> that</w:t>
            </w:r>
            <w:r w:rsidRPr="003E5401">
              <w:t xml:space="preserve"> </w:t>
            </w:r>
            <w:r>
              <w:t>a</w:t>
            </w:r>
            <w:r w:rsidRPr="003E5401">
              <w:t xml:space="preserve"> detrimental action offence has been committed by or against a public official associated with the agency</w:t>
            </w:r>
            <w:r>
              <w:t>.</w:t>
            </w:r>
          </w:p>
        </w:tc>
      </w:tr>
      <w:tr w:rsidR="00B234A3" w:rsidRPr="007325F5" w:rsidDel="003E5401" w14:paraId="7AAD4AC2"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hideMark/>
          </w:tcPr>
          <w:p w14:paraId="774D26D8" w14:textId="6D66B4A5" w:rsidR="00B234A3" w:rsidRPr="003432C5" w:rsidRDefault="00B234A3" w:rsidP="009E1DE0">
            <w:pPr>
              <w:pStyle w:val="tablelefttext"/>
              <w:ind w:left="113" w:right="57"/>
              <w:rPr>
                <w:rFonts w:ascii="Times New Roman" w:hAnsi="Times New Roman"/>
                <w:sz w:val="24"/>
                <w:szCs w:val="24"/>
              </w:rPr>
            </w:pPr>
            <w:r>
              <w:t>Maintaining confidentiality and p</w:t>
            </w:r>
            <w:r w:rsidRPr="003432C5">
              <w:t>rotections   </w:t>
            </w:r>
          </w:p>
          <w:p w14:paraId="65D82AA5" w14:textId="1318C394" w:rsidR="00B234A3" w:rsidRPr="003432C5" w:rsidRDefault="00B234A3" w:rsidP="009E1DE0">
            <w:pPr>
              <w:pStyle w:val="tablelefttext"/>
              <w:ind w:left="113" w:right="57"/>
              <w:rPr>
                <w:rFonts w:ascii="Times New Roman" w:hAnsi="Times New Roman"/>
                <w:sz w:val="24"/>
                <w:szCs w:val="24"/>
              </w:rPr>
            </w:pPr>
            <w:r w:rsidRPr="003432C5">
              <w:t> </w:t>
            </w:r>
            <w:r w:rsidRPr="007325F5">
              <w:t>(</w:t>
            </w:r>
            <w:r w:rsidRPr="00F933D7">
              <w:t>s 43(1)(e)</w:t>
            </w:r>
            <w:r>
              <w:t xml:space="preserve"> and </w:t>
            </w:r>
            <w:r w:rsidRPr="007325F5">
              <w:t>(3)</w:t>
            </w:r>
            <w:r>
              <w:t>)</w:t>
            </w:r>
            <w:r w:rsidRPr="007325F5">
              <w:t xml:space="preserve">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47170DF" w14:textId="3813B65E" w:rsidR="00B234A3" w:rsidRPr="00CD686C" w:rsidRDefault="00B234A3" w:rsidP="00BF1C8E">
            <w:pPr>
              <w:pStyle w:val="tablerightbullets"/>
              <w:numPr>
                <w:ilvl w:val="0"/>
                <w:numId w:val="0"/>
              </w:numPr>
              <w:ind w:left="139"/>
            </w:pPr>
            <w:r w:rsidRPr="00CD686C">
              <w:t>Detail the agency’s procedures for maintaining confidentiality in relation to voluntary PIDs and protecting the identity of the makers of voluntary PIDs. </w:t>
            </w:r>
          </w:p>
          <w:p w14:paraId="3F04057C" w14:textId="023BF16A" w:rsidR="00B234A3" w:rsidRPr="0093701F" w:rsidRDefault="00B234A3" w:rsidP="00BF1C8E">
            <w:pPr>
              <w:pStyle w:val="tablerightbullets"/>
              <w:numPr>
                <w:ilvl w:val="0"/>
                <w:numId w:val="0"/>
              </w:numPr>
              <w:ind w:left="139"/>
            </w:pPr>
            <w:r w:rsidRPr="00CD686C">
              <w:t>Include</w:t>
            </w:r>
            <w:r w:rsidRPr="00782879">
              <w:t xml:space="preserve"> information about protections available under the PID Act to makers of voluntary, mandatory and witness PIDs.</w:t>
            </w:r>
          </w:p>
          <w:p w14:paraId="1853443C" w14:textId="77777777" w:rsidR="00B234A3" w:rsidRPr="007325F5" w:rsidRDefault="00B234A3" w:rsidP="00C66C0C">
            <w:pPr>
              <w:pStyle w:val="tablerightstyle"/>
              <w:ind w:left="113"/>
            </w:pPr>
          </w:p>
        </w:tc>
      </w:tr>
      <w:tr w:rsidR="00B234A3" w:rsidRPr="00CF73C8" w14:paraId="1FB58414"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hideMark/>
          </w:tcPr>
          <w:p w14:paraId="285A3EFC" w14:textId="77777777" w:rsidR="00B234A3" w:rsidRDefault="00B234A3" w:rsidP="009E1DE0">
            <w:pPr>
              <w:pStyle w:val="tablelefttext"/>
              <w:ind w:left="113" w:right="57"/>
            </w:pPr>
            <w:r w:rsidRPr="003432C5">
              <w:t>Corrective action</w:t>
            </w:r>
          </w:p>
          <w:p w14:paraId="292F0305" w14:textId="77777777" w:rsidR="00B234A3" w:rsidRPr="007325F5" w:rsidRDefault="00B234A3" w:rsidP="009E1DE0">
            <w:pPr>
              <w:pStyle w:val="tablelefttext"/>
              <w:ind w:left="113" w:right="57"/>
            </w:pPr>
            <w:r w:rsidRPr="007325F5">
              <w:t>(s 43(1)(f))</w:t>
            </w:r>
          </w:p>
          <w:p w14:paraId="0B939682" w14:textId="77777777" w:rsidR="00B234A3" w:rsidRPr="003432C5" w:rsidRDefault="00B234A3" w:rsidP="009E1DE0">
            <w:pPr>
              <w:pStyle w:val="tablelefttext"/>
              <w:ind w:left="113" w:right="57"/>
              <w:rPr>
                <w:rFonts w:ascii="Times New Roman" w:hAnsi="Times New Roman"/>
                <w:sz w:val="24"/>
                <w:szCs w:val="24"/>
              </w:rPr>
            </w:pPr>
            <w:r w:rsidRPr="003432C5">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F0B234C" w14:textId="50A92E39" w:rsidR="00B234A3" w:rsidRPr="00C66C0C" w:rsidRDefault="00B234A3" w:rsidP="009E1DE0">
            <w:pPr>
              <w:pStyle w:val="tablerightstyle"/>
              <w:ind w:left="113" w:right="113"/>
              <w:rPr>
                <w:sz w:val="24"/>
                <w:szCs w:val="24"/>
              </w:rPr>
            </w:pPr>
            <w:r w:rsidRPr="007325F5">
              <w:t>Specify the agency’s procedures for taking appropriate corrective action in response to findings of serious wrongdoing or other misconduct that arise from voluntary PIDs relating to the agency</w:t>
            </w:r>
            <w:r>
              <w:t>.</w:t>
            </w:r>
          </w:p>
          <w:p w14:paraId="358FECF1" w14:textId="0461827A" w:rsidR="00B234A3" w:rsidRPr="003432C5" w:rsidRDefault="00B234A3" w:rsidP="009E1DE0">
            <w:pPr>
              <w:pStyle w:val="tablerightstyle"/>
              <w:ind w:left="113" w:right="57"/>
              <w:rPr>
                <w:rFonts w:ascii="Times New Roman" w:hAnsi="Times New Roman"/>
                <w:sz w:val="24"/>
                <w:szCs w:val="24"/>
              </w:rPr>
            </w:pPr>
          </w:p>
        </w:tc>
      </w:tr>
      <w:tr w:rsidR="00B234A3" w:rsidRPr="00CF73C8" w14:paraId="6EE1438F"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tcPr>
          <w:p w14:paraId="753367B1" w14:textId="2BD72311" w:rsidR="00B234A3" w:rsidRPr="00EB2F82" w:rsidRDefault="00B234A3" w:rsidP="009E1DE0">
            <w:pPr>
              <w:pStyle w:val="tablelefttext"/>
              <w:ind w:left="113" w:right="57"/>
            </w:pPr>
            <w:r w:rsidRPr="00EB2F82">
              <w:t>Record</w:t>
            </w:r>
            <w:r>
              <w:t>-</w:t>
            </w:r>
            <w:r w:rsidRPr="00EB2F82">
              <w:t xml:space="preserve">keeping </w:t>
            </w:r>
          </w:p>
          <w:p w14:paraId="501DF938" w14:textId="77777777" w:rsidR="00B234A3" w:rsidRPr="00EB2F82" w:rsidRDefault="00B234A3" w:rsidP="009E1DE0">
            <w:pPr>
              <w:pStyle w:val="tablelefttext"/>
              <w:ind w:left="113" w:right="57"/>
            </w:pPr>
            <w:r w:rsidRPr="00EB2F82">
              <w:t>(s 43(1)(g))</w:t>
            </w:r>
          </w:p>
          <w:p w14:paraId="4C019B55" w14:textId="77777777" w:rsidR="00B234A3" w:rsidRPr="003432C5" w:rsidRDefault="00B234A3" w:rsidP="009E1DE0">
            <w:pPr>
              <w:pStyle w:val="tablelefttext"/>
              <w:ind w:left="113" w:right="57"/>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74B0EBC9" w14:textId="5E1926AE" w:rsidR="00B234A3" w:rsidRPr="007325F5" w:rsidRDefault="00B234A3" w:rsidP="009E1DE0">
            <w:pPr>
              <w:pStyle w:val="tablerightstyle"/>
              <w:ind w:left="113" w:right="57"/>
            </w:pPr>
            <w:r w:rsidRPr="00B56FB2">
              <w:t>Outline the agency’s record</w:t>
            </w:r>
            <w:r>
              <w:t>-</w:t>
            </w:r>
            <w:r w:rsidRPr="00B56FB2">
              <w:t>keeping procedures including how information is stored and confirm that security/access levels will be applied to all communications regarding disclosures made in accordance with the PID Act.</w:t>
            </w:r>
          </w:p>
        </w:tc>
      </w:tr>
      <w:tr w:rsidR="00B234A3" w:rsidRPr="00CF73C8" w14:paraId="5AC3C110"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tcPr>
          <w:p w14:paraId="39B4DDD2" w14:textId="77777777" w:rsidR="00B234A3" w:rsidRPr="00B56FB2" w:rsidRDefault="00B234A3" w:rsidP="009E1DE0">
            <w:pPr>
              <w:pStyle w:val="tablelefttext"/>
              <w:ind w:left="113" w:right="57"/>
            </w:pPr>
            <w:r w:rsidRPr="00B56FB2">
              <w:t>Reporting obligations</w:t>
            </w:r>
          </w:p>
          <w:p w14:paraId="6AAE8B77" w14:textId="77777777" w:rsidR="00B234A3" w:rsidRPr="00B56FB2" w:rsidRDefault="00B234A3" w:rsidP="009E1DE0">
            <w:pPr>
              <w:pStyle w:val="tablelefttext"/>
              <w:ind w:left="113" w:right="57"/>
            </w:pPr>
            <w:r w:rsidRPr="00B56FB2">
              <w:t>(s 43(1)(g))</w:t>
            </w:r>
          </w:p>
          <w:p w14:paraId="29AFAE12" w14:textId="77777777" w:rsidR="00B234A3" w:rsidRPr="00EB2F82" w:rsidRDefault="00B234A3" w:rsidP="009E1DE0">
            <w:pPr>
              <w:pStyle w:val="tablelefttext"/>
              <w:ind w:left="113" w:right="57"/>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53B5BEEE" w14:textId="650184F5" w:rsidR="00B234A3" w:rsidRPr="00B56FB2" w:rsidRDefault="00B234A3" w:rsidP="009E1DE0">
            <w:pPr>
              <w:pStyle w:val="tablerightstyle"/>
              <w:ind w:left="113" w:right="57"/>
            </w:pPr>
            <w:r w:rsidRPr="00B56FB2">
              <w:t>Specify the agency’s procedures for reporting in relation to voluntary PIDs to the</w:t>
            </w:r>
            <w:r w:rsidR="00BF3A15">
              <w:t xml:space="preserve"> NSW</w:t>
            </w:r>
            <w:r w:rsidRPr="00B56FB2">
              <w:t xml:space="preserve"> Ombudsman and how the agency will prepare its annual return.</w:t>
            </w:r>
          </w:p>
        </w:tc>
      </w:tr>
      <w:tr w:rsidR="00B234A3" w:rsidRPr="003432C5" w14:paraId="3600063B"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tcPr>
          <w:p w14:paraId="63AFE8B5" w14:textId="780E3EB6" w:rsidR="00B234A3" w:rsidRPr="00877220" w:rsidRDefault="00B234A3" w:rsidP="009E1DE0">
            <w:pPr>
              <w:pStyle w:val="tablelefttext"/>
              <w:ind w:left="113" w:right="57"/>
            </w:pPr>
            <w:r>
              <w:t>Establishing internal oversight and complying</w:t>
            </w:r>
            <w:r w:rsidRPr="00877220">
              <w:t xml:space="preserve"> with the PID Act  </w:t>
            </w:r>
          </w:p>
          <w:p w14:paraId="1B6F20BA" w14:textId="12F5FD62" w:rsidR="00B234A3" w:rsidRDefault="00B234A3" w:rsidP="009E1DE0">
            <w:pPr>
              <w:pStyle w:val="tablelefttext"/>
              <w:ind w:left="113" w:right="57"/>
            </w:pPr>
            <w:r w:rsidRPr="00877220">
              <w:t>(s 43(1)(h)</w:t>
            </w:r>
            <w:r>
              <w:t>–</w:t>
            </w:r>
            <w:r w:rsidRPr="00877220">
              <w:t>(</w:t>
            </w:r>
            <w:proofErr w:type="spellStart"/>
            <w:r w:rsidRPr="00877220">
              <w:t>i</w:t>
            </w:r>
            <w:proofErr w:type="spellEnd"/>
            <w:r w:rsidRPr="00877220">
              <w:t>))</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11472DBB" w14:textId="45A507BA" w:rsidR="00951055" w:rsidRDefault="00B234A3" w:rsidP="00B94C92">
            <w:pPr>
              <w:pStyle w:val="tablerightstyle"/>
              <w:ind w:left="113"/>
            </w:pPr>
            <w:r>
              <w:t>Provide details about how the agency will ensure it complies with the PID Act, including who or what business unit has internal oversight over compliance with the PID Act.</w:t>
            </w:r>
          </w:p>
        </w:tc>
      </w:tr>
      <w:tr w:rsidR="00B234A3" w14:paraId="586A0564" w14:textId="77777777"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hideMark/>
          </w:tcPr>
          <w:p w14:paraId="4ADD7508" w14:textId="2967DE2D" w:rsidR="00B234A3" w:rsidRPr="003432C5" w:rsidRDefault="00B234A3" w:rsidP="009E1DE0">
            <w:pPr>
              <w:pStyle w:val="tablelefttext"/>
              <w:ind w:left="113" w:right="57"/>
              <w:rPr>
                <w:rFonts w:ascii="Times New Roman" w:hAnsi="Times New Roman"/>
                <w:sz w:val="24"/>
                <w:szCs w:val="24"/>
              </w:rPr>
            </w:pPr>
            <w:r>
              <w:t xml:space="preserve">Roles and responsibilities </w:t>
            </w:r>
            <w:r w:rsidR="009E1DE0">
              <w:br/>
            </w:r>
            <w:r>
              <w:t>(s 43(2))</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CDF983D" w14:textId="77777777" w:rsidR="00B234A3" w:rsidRPr="003432C5" w:rsidRDefault="00B234A3" w:rsidP="009E1DE0">
            <w:pPr>
              <w:pStyle w:val="tablerightstyle"/>
              <w:ind w:left="113"/>
              <w:rPr>
                <w:rFonts w:ascii="Times New Roman" w:hAnsi="Times New Roman"/>
                <w:sz w:val="24"/>
                <w:szCs w:val="24"/>
              </w:rPr>
            </w:pPr>
            <w:r>
              <w:t>S</w:t>
            </w:r>
            <w:r w:rsidRPr="003432C5">
              <w:t>pecify the responsibilities under the PID Act given to:</w:t>
            </w:r>
          </w:p>
          <w:p w14:paraId="18E017F5" w14:textId="481CDBDE" w:rsidR="00B234A3" w:rsidRDefault="00B234A3" w:rsidP="00CD686C">
            <w:pPr>
              <w:pStyle w:val="tablerightbullets"/>
            </w:pPr>
            <w:r w:rsidRPr="007325F5">
              <w:t>the head of the agency  </w:t>
            </w:r>
          </w:p>
          <w:p w14:paraId="1A898D14" w14:textId="3BDAACF9" w:rsidR="00B94C92" w:rsidRDefault="00B234A3" w:rsidP="00B94C92">
            <w:pPr>
              <w:pStyle w:val="tablerightbullets"/>
            </w:pPr>
            <w:r w:rsidRPr="007325F5">
              <w:t xml:space="preserve">disclosure officers for the </w:t>
            </w:r>
            <w:r w:rsidRPr="004756CE">
              <w:t>agency</w:t>
            </w:r>
          </w:p>
          <w:p w14:paraId="3C08FD3F" w14:textId="5002E7F5" w:rsidR="00B234A3" w:rsidRPr="0093701F" w:rsidRDefault="00951055" w:rsidP="00B94C92">
            <w:pPr>
              <w:pStyle w:val="tablerightbullets"/>
              <w:numPr>
                <w:ilvl w:val="0"/>
                <w:numId w:val="0"/>
              </w:numPr>
              <w:ind w:left="139"/>
            </w:pPr>
            <w:r>
              <w:lastRenderedPageBreak/>
              <w:t xml:space="preserve">Specify </w:t>
            </w:r>
            <w:r w:rsidR="00B234A3">
              <w:t>t</w:t>
            </w:r>
            <w:r w:rsidR="00B234A3" w:rsidRPr="00A4618D">
              <w:t>he responsibility imposed by section 51(1) on managers of public officials associated with the agency</w:t>
            </w:r>
            <w:r>
              <w:t>.</w:t>
            </w:r>
          </w:p>
          <w:p w14:paraId="5434A84A" w14:textId="4771389D" w:rsidR="00B234A3" w:rsidRPr="0093701F" w:rsidRDefault="00B234A3" w:rsidP="00C66C0C">
            <w:pPr>
              <w:pStyle w:val="tablerightstyle"/>
              <w:ind w:left="113"/>
              <w:rPr>
                <w:rFonts w:ascii="Times New Roman" w:hAnsi="Times New Roman"/>
                <w:sz w:val="24"/>
                <w:szCs w:val="24"/>
              </w:rPr>
            </w:pPr>
          </w:p>
        </w:tc>
      </w:tr>
      <w:tr w:rsidR="00B234A3" w:rsidRPr="003432C5" w14:paraId="30BDE8F4" w14:textId="7C271626" w:rsidTr="009E1DE0">
        <w:trPr>
          <w:trHeight w:val="300"/>
        </w:trPr>
        <w:tc>
          <w:tcPr>
            <w:tcW w:w="3114" w:type="dxa"/>
            <w:tcBorders>
              <w:top w:val="single" w:sz="6" w:space="0" w:color="auto"/>
              <w:left w:val="single" w:sz="6" w:space="0" w:color="auto"/>
              <w:bottom w:val="single" w:sz="6" w:space="0" w:color="auto"/>
              <w:right w:val="single" w:sz="6" w:space="0" w:color="auto"/>
            </w:tcBorders>
            <w:shd w:val="clear" w:color="auto" w:fill="auto"/>
          </w:tcPr>
          <w:p w14:paraId="0460A0D6" w14:textId="77777777" w:rsidR="00B234A3" w:rsidRDefault="00B234A3" w:rsidP="00C66C0C">
            <w:pPr>
              <w:pStyle w:val="tablelefttext"/>
              <w:ind w:left="113"/>
            </w:pPr>
            <w:r w:rsidRPr="003432C5">
              <w:lastRenderedPageBreak/>
              <w:t>List of disclosure officers</w:t>
            </w:r>
            <w:r>
              <w:t xml:space="preserve"> </w:t>
            </w:r>
          </w:p>
          <w:p w14:paraId="55288204" w14:textId="5D95BF3E" w:rsidR="00B234A3" w:rsidRPr="003432C5" w:rsidRDefault="00B234A3" w:rsidP="00C66C0C">
            <w:pPr>
              <w:pStyle w:val="tablelefttext"/>
              <w:ind w:left="113"/>
            </w:pPr>
            <w:r>
              <w:t>(s 43(4))</w:t>
            </w:r>
            <w:r w:rsidRPr="003432C5">
              <w:t>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0E10ACB2" w14:textId="7D05FD99" w:rsidR="00B234A3" w:rsidRDefault="00B234A3" w:rsidP="00C66C0C">
            <w:pPr>
              <w:pStyle w:val="tablerightstyle"/>
              <w:ind w:left="113"/>
            </w:pPr>
            <w:r>
              <w:t>P</w:t>
            </w:r>
            <w:r w:rsidRPr="00427672">
              <w:t>rominently</w:t>
            </w:r>
            <w:r w:rsidRPr="003432C5">
              <w:t xml:space="preserve"> include</w:t>
            </w:r>
            <w:r>
              <w:t xml:space="preserve"> </w:t>
            </w:r>
            <w:r w:rsidRPr="003432C5">
              <w:t>a list identifying the agency’s disclosure officers by class, position</w:t>
            </w:r>
            <w:r>
              <w:t>,</w:t>
            </w:r>
            <w:r w:rsidRPr="003432C5">
              <w:t xml:space="preserve"> role or name, as well as information enabling them to be contacted</w:t>
            </w:r>
            <w:r w:rsidRPr="00427672">
              <w:t>.</w:t>
            </w:r>
          </w:p>
        </w:tc>
      </w:tr>
    </w:tbl>
    <w:p w14:paraId="0DBA9D0E" w14:textId="1707FA1D" w:rsidR="003432C5" w:rsidRPr="003432C5" w:rsidRDefault="003432C5" w:rsidP="003432C5">
      <w:pPr>
        <w:textAlignment w:val="baseline"/>
        <w:rPr>
          <w:rFonts w:ascii="Segoe UI" w:eastAsia="Times New Roman" w:hAnsi="Segoe UI" w:cs="Segoe UI"/>
          <w:sz w:val="18"/>
          <w:szCs w:val="18"/>
          <w:lang w:eastAsia="en-AU"/>
        </w:rPr>
      </w:pPr>
      <w:r w:rsidRPr="003432C5">
        <w:rPr>
          <w:rFonts w:ascii="Arial" w:eastAsia="Times New Roman" w:hAnsi="Arial" w:cs="Arial"/>
          <w:lang w:eastAsia="en-AU"/>
        </w:rPr>
        <w:t>  </w:t>
      </w:r>
    </w:p>
    <w:p w14:paraId="288E26FB" w14:textId="77777777" w:rsidR="00392CDF" w:rsidRPr="00084B45" w:rsidRDefault="00392CDF" w:rsidP="00084B45">
      <w:pPr>
        <w:pStyle w:val="BodyText"/>
      </w:pPr>
      <w:r w:rsidRPr="00084B45">
        <w:br w:type="page"/>
      </w:r>
    </w:p>
    <w:p w14:paraId="6635F02B" w14:textId="1A22150C" w:rsidR="00F91CC3" w:rsidRPr="00084B45" w:rsidRDefault="00F26B5A" w:rsidP="00CD686C">
      <w:pPr>
        <w:pStyle w:val="Heading1"/>
        <w:numPr>
          <w:ilvl w:val="0"/>
          <w:numId w:val="0"/>
        </w:numPr>
        <w:rPr>
          <w:rFonts w:asciiTheme="minorHAnsi" w:hAnsiTheme="minorHAnsi" w:cstheme="minorHAnsi"/>
        </w:rPr>
      </w:pPr>
      <w:bookmarkStart w:id="18" w:name="_Toc140251611"/>
      <w:bookmarkStart w:id="19" w:name="_Toc140251708"/>
      <w:r w:rsidRPr="00084B45">
        <w:rPr>
          <w:rFonts w:asciiTheme="minorHAnsi" w:hAnsiTheme="minorHAnsi" w:cstheme="minorHAnsi"/>
        </w:rPr>
        <w:lastRenderedPageBreak/>
        <w:t>Model P</w:t>
      </w:r>
      <w:r w:rsidR="002E0E50" w:rsidRPr="00084B45">
        <w:rPr>
          <w:rFonts w:asciiTheme="minorHAnsi" w:hAnsiTheme="minorHAnsi" w:cstheme="minorHAnsi"/>
        </w:rPr>
        <w:t>ublic Interest Disclosure Policy</w:t>
      </w:r>
      <w:bookmarkEnd w:id="18"/>
      <w:bookmarkEnd w:id="19"/>
      <w:r w:rsidR="002E0E50" w:rsidRPr="00084B45">
        <w:rPr>
          <w:rFonts w:asciiTheme="minorHAnsi" w:hAnsiTheme="minorHAnsi" w:cstheme="minorHAnsi"/>
        </w:rPr>
        <w:t xml:space="preserve"> </w:t>
      </w:r>
    </w:p>
    <w:sdt>
      <w:sdtPr>
        <w:rPr>
          <w:rFonts w:asciiTheme="minorHAnsi" w:hAnsiTheme="minorHAnsi" w:cstheme="minorHAnsi"/>
          <w:b w:val="0"/>
          <w:bCs/>
          <w:noProof w:val="0"/>
          <w:color w:val="auto"/>
          <w:sz w:val="22"/>
          <w:szCs w:val="22"/>
        </w:rPr>
        <w:id w:val="1048268058"/>
        <w:docPartObj>
          <w:docPartGallery w:val="Table of Contents"/>
          <w:docPartUnique/>
        </w:docPartObj>
      </w:sdtPr>
      <w:sdtEndPr>
        <w:rPr>
          <w:bCs w:val="0"/>
        </w:rPr>
      </w:sdtEndPr>
      <w:sdtContent>
        <w:p w14:paraId="4A47AD18" w14:textId="77777777" w:rsidR="00021BA5" w:rsidRPr="00084B45" w:rsidRDefault="004C2019" w:rsidP="007A1730">
          <w:pPr>
            <w:pStyle w:val="TOCHeading"/>
            <w:rPr>
              <w:rFonts w:asciiTheme="minorHAnsi" w:hAnsiTheme="minorHAnsi" w:cstheme="minorHAnsi"/>
            </w:rPr>
          </w:pPr>
          <w:r w:rsidRPr="00084B45">
            <w:rPr>
              <w:rFonts w:asciiTheme="minorHAnsi" w:hAnsiTheme="minorHAnsi" w:cstheme="minorHAnsi"/>
            </w:rPr>
            <w:t>Contents</w:t>
          </w:r>
          <w:r w:rsidRPr="00084B45">
            <w:rPr>
              <w:rFonts w:asciiTheme="minorHAnsi" w:eastAsiaTheme="majorEastAsia" w:hAnsiTheme="minorHAnsi" w:cstheme="minorHAnsi"/>
              <w:bCs/>
              <w:noProof w:val="0"/>
              <w:color w:val="365F91" w:themeColor="accent1" w:themeShade="BF"/>
              <w:lang w:val="en-US"/>
            </w:rPr>
            <w:fldChar w:fldCharType="begin"/>
          </w:r>
          <w:r w:rsidRPr="00084B45">
            <w:rPr>
              <w:rFonts w:asciiTheme="minorHAnsi" w:hAnsiTheme="minorHAnsi" w:cstheme="minorHAnsi"/>
            </w:rPr>
            <w:instrText xml:space="preserve"> TOC \o "1-3" \h \z \u </w:instrText>
          </w:r>
          <w:r w:rsidRPr="00084B45">
            <w:rPr>
              <w:rFonts w:asciiTheme="minorHAnsi" w:eastAsiaTheme="majorEastAsia" w:hAnsiTheme="minorHAnsi" w:cstheme="minorHAnsi"/>
              <w:bCs/>
              <w:noProof w:val="0"/>
              <w:color w:val="365F91" w:themeColor="accent1" w:themeShade="BF"/>
              <w:lang w:val="en-US"/>
            </w:rPr>
            <w:fldChar w:fldCharType="separate"/>
          </w:r>
        </w:p>
        <w:p w14:paraId="7C74B615" w14:textId="4059B5ED" w:rsidR="00021BA5" w:rsidRPr="00084B45" w:rsidRDefault="00000000" w:rsidP="000A1083">
          <w:pPr>
            <w:pStyle w:val="TOC2"/>
            <w:rPr>
              <w:rFonts w:eastAsiaTheme="minorEastAsia"/>
              <w:kern w:val="2"/>
              <w:lang w:eastAsia="en-AU"/>
              <w14:ligatures w14:val="standardContextual"/>
            </w:rPr>
          </w:pPr>
          <w:hyperlink w:anchor="_Toc140251709" w:history="1">
            <w:r w:rsidR="00021BA5" w:rsidRPr="00084B45">
              <w:rPr>
                <w:rStyle w:val="Hyperlink"/>
              </w:rPr>
              <w:t>Purpose</w:t>
            </w:r>
            <w:r w:rsidR="00021BA5" w:rsidRPr="00084B45">
              <w:rPr>
                <w:webHidden/>
              </w:rPr>
              <w:tab/>
            </w:r>
            <w:r w:rsidR="00021BA5" w:rsidRPr="00084B45">
              <w:rPr>
                <w:webHidden/>
              </w:rPr>
              <w:fldChar w:fldCharType="begin"/>
            </w:r>
            <w:r w:rsidR="00021BA5" w:rsidRPr="00084B45">
              <w:rPr>
                <w:webHidden/>
              </w:rPr>
              <w:instrText xml:space="preserve"> PAGEREF _Toc140251709 \h </w:instrText>
            </w:r>
            <w:r w:rsidR="00021BA5" w:rsidRPr="00084B45">
              <w:rPr>
                <w:webHidden/>
              </w:rPr>
            </w:r>
            <w:r w:rsidR="00021BA5" w:rsidRPr="00084B45">
              <w:rPr>
                <w:webHidden/>
              </w:rPr>
              <w:fldChar w:fldCharType="separate"/>
            </w:r>
            <w:r w:rsidR="009C6B50">
              <w:rPr>
                <w:webHidden/>
              </w:rPr>
              <w:t>9</w:t>
            </w:r>
            <w:r w:rsidR="00021BA5" w:rsidRPr="00084B45">
              <w:rPr>
                <w:webHidden/>
              </w:rPr>
              <w:fldChar w:fldCharType="end"/>
            </w:r>
          </w:hyperlink>
        </w:p>
        <w:p w14:paraId="247A30BA" w14:textId="7B2B0D67" w:rsidR="00021BA5" w:rsidRPr="00084B45" w:rsidRDefault="00000000" w:rsidP="000A1083">
          <w:pPr>
            <w:pStyle w:val="TOC2"/>
            <w:rPr>
              <w:rFonts w:eastAsiaTheme="minorEastAsia"/>
              <w:kern w:val="2"/>
              <w:lang w:eastAsia="en-AU"/>
              <w14:ligatures w14:val="standardContextual"/>
            </w:rPr>
          </w:pPr>
          <w:hyperlink w:anchor="_Toc140251710" w:history="1">
            <w:r w:rsidR="00021BA5" w:rsidRPr="00084B45">
              <w:rPr>
                <w:rStyle w:val="Hyperlink"/>
              </w:rPr>
              <w:t>Accessibility of this policy</w:t>
            </w:r>
            <w:r w:rsidR="00021BA5" w:rsidRPr="00084B45">
              <w:rPr>
                <w:webHidden/>
              </w:rPr>
              <w:tab/>
            </w:r>
            <w:r w:rsidR="00021BA5" w:rsidRPr="00084B45">
              <w:rPr>
                <w:webHidden/>
              </w:rPr>
              <w:fldChar w:fldCharType="begin"/>
            </w:r>
            <w:r w:rsidR="00021BA5" w:rsidRPr="00084B45">
              <w:rPr>
                <w:webHidden/>
              </w:rPr>
              <w:instrText xml:space="preserve"> PAGEREF _Toc140251710 \h </w:instrText>
            </w:r>
            <w:r w:rsidR="00021BA5" w:rsidRPr="00084B45">
              <w:rPr>
                <w:webHidden/>
              </w:rPr>
            </w:r>
            <w:r w:rsidR="00021BA5" w:rsidRPr="00084B45">
              <w:rPr>
                <w:webHidden/>
              </w:rPr>
              <w:fldChar w:fldCharType="separate"/>
            </w:r>
            <w:r w:rsidR="009C6B50">
              <w:rPr>
                <w:webHidden/>
              </w:rPr>
              <w:t>10</w:t>
            </w:r>
            <w:r w:rsidR="00021BA5" w:rsidRPr="00084B45">
              <w:rPr>
                <w:webHidden/>
              </w:rPr>
              <w:fldChar w:fldCharType="end"/>
            </w:r>
          </w:hyperlink>
        </w:p>
        <w:p w14:paraId="7EAC1506" w14:textId="28D6FFC7" w:rsidR="00021BA5" w:rsidRPr="00084B45" w:rsidRDefault="00000000" w:rsidP="000A1083">
          <w:pPr>
            <w:pStyle w:val="TOC2"/>
            <w:rPr>
              <w:rFonts w:eastAsiaTheme="minorEastAsia"/>
              <w:kern w:val="2"/>
              <w:lang w:eastAsia="en-AU"/>
              <w14:ligatures w14:val="standardContextual"/>
            </w:rPr>
          </w:pPr>
          <w:hyperlink w:anchor="_Toc140251711" w:history="1">
            <w:r w:rsidR="00021BA5" w:rsidRPr="00084B45">
              <w:rPr>
                <w:rStyle w:val="Hyperlink"/>
              </w:rPr>
              <w:t>Who does this policy apply to?</w:t>
            </w:r>
            <w:r w:rsidR="00021BA5" w:rsidRPr="00084B45">
              <w:rPr>
                <w:webHidden/>
              </w:rPr>
              <w:tab/>
            </w:r>
            <w:r w:rsidR="00021BA5" w:rsidRPr="00084B45">
              <w:rPr>
                <w:webHidden/>
              </w:rPr>
              <w:fldChar w:fldCharType="begin"/>
            </w:r>
            <w:r w:rsidR="00021BA5" w:rsidRPr="00084B45">
              <w:rPr>
                <w:webHidden/>
              </w:rPr>
              <w:instrText xml:space="preserve"> PAGEREF _Toc140251711 \h </w:instrText>
            </w:r>
            <w:r w:rsidR="00021BA5" w:rsidRPr="00084B45">
              <w:rPr>
                <w:webHidden/>
              </w:rPr>
            </w:r>
            <w:r w:rsidR="00021BA5" w:rsidRPr="00084B45">
              <w:rPr>
                <w:webHidden/>
              </w:rPr>
              <w:fldChar w:fldCharType="separate"/>
            </w:r>
            <w:r w:rsidR="009C6B50">
              <w:rPr>
                <w:webHidden/>
              </w:rPr>
              <w:t>10</w:t>
            </w:r>
            <w:r w:rsidR="00021BA5" w:rsidRPr="00084B45">
              <w:rPr>
                <w:webHidden/>
              </w:rPr>
              <w:fldChar w:fldCharType="end"/>
            </w:r>
          </w:hyperlink>
        </w:p>
        <w:p w14:paraId="2AAF95FF" w14:textId="6D46D80E" w:rsidR="00021BA5" w:rsidRPr="00084B45" w:rsidRDefault="00000000" w:rsidP="000A1083">
          <w:pPr>
            <w:pStyle w:val="TOC2"/>
            <w:rPr>
              <w:rFonts w:eastAsiaTheme="minorEastAsia"/>
              <w:kern w:val="2"/>
              <w:lang w:eastAsia="en-AU"/>
              <w14:ligatures w14:val="standardContextual"/>
            </w:rPr>
          </w:pPr>
          <w:hyperlink w:anchor="_Toc140251712" w:history="1">
            <w:r w:rsidR="00021BA5" w:rsidRPr="00084B45">
              <w:rPr>
                <w:rStyle w:val="Hyperlink"/>
              </w:rPr>
              <w:t>Who does this policy not apply to?</w:t>
            </w:r>
            <w:r w:rsidR="00021BA5" w:rsidRPr="00084B45">
              <w:rPr>
                <w:webHidden/>
              </w:rPr>
              <w:tab/>
            </w:r>
            <w:r w:rsidR="00021BA5" w:rsidRPr="00084B45">
              <w:rPr>
                <w:webHidden/>
              </w:rPr>
              <w:fldChar w:fldCharType="begin"/>
            </w:r>
            <w:r w:rsidR="00021BA5" w:rsidRPr="00084B45">
              <w:rPr>
                <w:webHidden/>
              </w:rPr>
              <w:instrText xml:space="preserve"> PAGEREF _Toc140251712 \h </w:instrText>
            </w:r>
            <w:r w:rsidR="00021BA5" w:rsidRPr="00084B45">
              <w:rPr>
                <w:webHidden/>
              </w:rPr>
            </w:r>
            <w:r w:rsidR="00021BA5" w:rsidRPr="00084B45">
              <w:rPr>
                <w:webHidden/>
              </w:rPr>
              <w:fldChar w:fldCharType="separate"/>
            </w:r>
            <w:r w:rsidR="009C6B50">
              <w:rPr>
                <w:webHidden/>
              </w:rPr>
              <w:t>11</w:t>
            </w:r>
            <w:r w:rsidR="00021BA5" w:rsidRPr="00084B45">
              <w:rPr>
                <w:webHidden/>
              </w:rPr>
              <w:fldChar w:fldCharType="end"/>
            </w:r>
          </w:hyperlink>
        </w:p>
        <w:p w14:paraId="2D1A1335" w14:textId="0255801E" w:rsidR="00021BA5" w:rsidRPr="00084B45" w:rsidRDefault="00000000" w:rsidP="000A1083">
          <w:pPr>
            <w:pStyle w:val="TOC2"/>
            <w:rPr>
              <w:rFonts w:eastAsiaTheme="minorEastAsia"/>
              <w:kern w:val="2"/>
              <w:lang w:eastAsia="en-AU"/>
              <w14:ligatures w14:val="standardContextual"/>
            </w:rPr>
          </w:pPr>
          <w:hyperlink w:anchor="_Toc140251713" w:history="1">
            <w:r w:rsidR="00021BA5" w:rsidRPr="00084B45">
              <w:rPr>
                <w:rStyle w:val="Hyperlink"/>
              </w:rPr>
              <w:t>Compliance with the PID Act</w:t>
            </w:r>
            <w:r w:rsidR="00021BA5" w:rsidRPr="00084B45">
              <w:rPr>
                <w:webHidden/>
              </w:rPr>
              <w:tab/>
            </w:r>
            <w:r w:rsidR="00021BA5" w:rsidRPr="00084B45">
              <w:rPr>
                <w:webHidden/>
              </w:rPr>
              <w:fldChar w:fldCharType="begin"/>
            </w:r>
            <w:r w:rsidR="00021BA5" w:rsidRPr="00084B45">
              <w:rPr>
                <w:webHidden/>
              </w:rPr>
              <w:instrText xml:space="preserve"> PAGEREF _Toc140251713 \h </w:instrText>
            </w:r>
            <w:r w:rsidR="00021BA5" w:rsidRPr="00084B45">
              <w:rPr>
                <w:webHidden/>
              </w:rPr>
            </w:r>
            <w:r w:rsidR="00021BA5" w:rsidRPr="00084B45">
              <w:rPr>
                <w:webHidden/>
              </w:rPr>
              <w:fldChar w:fldCharType="separate"/>
            </w:r>
            <w:r w:rsidR="009C6B50">
              <w:rPr>
                <w:webHidden/>
              </w:rPr>
              <w:t>11</w:t>
            </w:r>
            <w:r w:rsidR="00021BA5" w:rsidRPr="00084B45">
              <w:rPr>
                <w:webHidden/>
              </w:rPr>
              <w:fldChar w:fldCharType="end"/>
            </w:r>
          </w:hyperlink>
        </w:p>
        <w:p w14:paraId="5C5F9B3D" w14:textId="765D3D94" w:rsidR="00021BA5" w:rsidRPr="00084B45" w:rsidRDefault="00000000" w:rsidP="000A1083">
          <w:pPr>
            <w:pStyle w:val="TOC2"/>
            <w:rPr>
              <w:rFonts w:eastAsiaTheme="minorEastAsia"/>
              <w:kern w:val="2"/>
              <w:lang w:eastAsia="en-AU"/>
              <w14:ligatures w14:val="standardContextual"/>
            </w:rPr>
          </w:pPr>
          <w:hyperlink w:anchor="_Toc140251714" w:history="1">
            <w:r w:rsidR="00021BA5" w:rsidRPr="00084B45">
              <w:rPr>
                <w:rStyle w:val="Hyperlink"/>
              </w:rPr>
              <w:t>What is contained in this policy?</w:t>
            </w:r>
            <w:r w:rsidR="00021BA5" w:rsidRPr="00084B45">
              <w:rPr>
                <w:webHidden/>
              </w:rPr>
              <w:tab/>
            </w:r>
            <w:r w:rsidR="00021BA5" w:rsidRPr="00084B45">
              <w:rPr>
                <w:webHidden/>
              </w:rPr>
              <w:fldChar w:fldCharType="begin"/>
            </w:r>
            <w:r w:rsidR="00021BA5" w:rsidRPr="00084B45">
              <w:rPr>
                <w:webHidden/>
              </w:rPr>
              <w:instrText xml:space="preserve"> PAGEREF _Toc140251714 \h </w:instrText>
            </w:r>
            <w:r w:rsidR="00021BA5" w:rsidRPr="00084B45">
              <w:rPr>
                <w:webHidden/>
              </w:rPr>
            </w:r>
            <w:r w:rsidR="00021BA5" w:rsidRPr="00084B45">
              <w:rPr>
                <w:webHidden/>
              </w:rPr>
              <w:fldChar w:fldCharType="separate"/>
            </w:r>
            <w:r w:rsidR="009C6B50">
              <w:rPr>
                <w:webHidden/>
              </w:rPr>
              <w:t>12</w:t>
            </w:r>
            <w:r w:rsidR="00021BA5" w:rsidRPr="00084B45">
              <w:rPr>
                <w:webHidden/>
              </w:rPr>
              <w:fldChar w:fldCharType="end"/>
            </w:r>
          </w:hyperlink>
        </w:p>
        <w:p w14:paraId="5AD35BD5" w14:textId="35240EA7" w:rsidR="00021BA5" w:rsidRPr="00084B45" w:rsidRDefault="00000000" w:rsidP="000A1083">
          <w:pPr>
            <w:pStyle w:val="TOC2"/>
            <w:rPr>
              <w:rFonts w:eastAsiaTheme="minorEastAsia"/>
              <w:kern w:val="2"/>
              <w:lang w:eastAsia="en-AU"/>
              <w14:ligatures w14:val="standardContextual"/>
            </w:rPr>
          </w:pPr>
          <w:hyperlink w:anchor="_Toc140251715" w:history="1">
            <w:r w:rsidR="00021BA5" w:rsidRPr="00084B45">
              <w:rPr>
                <w:rStyle w:val="Hyperlink"/>
              </w:rPr>
              <w:t>1.</w:t>
            </w:r>
            <w:r w:rsidR="00021BA5" w:rsidRPr="00084B45">
              <w:rPr>
                <w:rFonts w:eastAsiaTheme="minorEastAsia"/>
                <w:kern w:val="2"/>
                <w:lang w:eastAsia="en-AU"/>
                <w14:ligatures w14:val="standardContextual"/>
              </w:rPr>
              <w:tab/>
            </w:r>
            <w:r w:rsidR="00021BA5" w:rsidRPr="00084B45">
              <w:rPr>
                <w:rStyle w:val="Hyperlink"/>
              </w:rPr>
              <w:t>How to make a report of serious wrongdoing</w:t>
            </w:r>
            <w:r w:rsidR="00021BA5" w:rsidRPr="00084B45">
              <w:rPr>
                <w:webHidden/>
              </w:rPr>
              <w:tab/>
            </w:r>
            <w:r w:rsidR="00021BA5" w:rsidRPr="00084B45">
              <w:rPr>
                <w:webHidden/>
              </w:rPr>
              <w:fldChar w:fldCharType="begin"/>
            </w:r>
            <w:r w:rsidR="00021BA5" w:rsidRPr="00084B45">
              <w:rPr>
                <w:webHidden/>
              </w:rPr>
              <w:instrText xml:space="preserve"> PAGEREF _Toc140251715 \h </w:instrText>
            </w:r>
            <w:r w:rsidR="00021BA5" w:rsidRPr="00084B45">
              <w:rPr>
                <w:webHidden/>
              </w:rPr>
            </w:r>
            <w:r w:rsidR="00021BA5" w:rsidRPr="00084B45">
              <w:rPr>
                <w:webHidden/>
              </w:rPr>
              <w:fldChar w:fldCharType="separate"/>
            </w:r>
            <w:r w:rsidR="009C6B50">
              <w:rPr>
                <w:webHidden/>
              </w:rPr>
              <w:t>13</w:t>
            </w:r>
            <w:r w:rsidR="00021BA5" w:rsidRPr="00084B45">
              <w:rPr>
                <w:webHidden/>
              </w:rPr>
              <w:fldChar w:fldCharType="end"/>
            </w:r>
          </w:hyperlink>
        </w:p>
        <w:p w14:paraId="7976F110" w14:textId="15EA82F2" w:rsidR="00021BA5" w:rsidRPr="00084B45" w:rsidRDefault="00000000" w:rsidP="007A1730">
          <w:pPr>
            <w:pStyle w:val="TOC3"/>
            <w:rPr>
              <w:rFonts w:cstheme="minorHAnsi"/>
              <w:kern w:val="2"/>
              <w:lang w:val="en-AU" w:eastAsia="en-AU"/>
              <w14:ligatures w14:val="standardContextual"/>
            </w:rPr>
          </w:pPr>
          <w:hyperlink w:anchor="_Toc140251716" w:history="1">
            <w:r w:rsidR="00021BA5" w:rsidRPr="00084B45">
              <w:rPr>
                <w:rStyle w:val="Hyperlink"/>
                <w:rFonts w:cstheme="minorHAnsi"/>
              </w:rPr>
              <w:t>(a)</w:t>
            </w:r>
            <w:r w:rsidR="00021BA5" w:rsidRPr="00084B45">
              <w:rPr>
                <w:rFonts w:cstheme="minorHAnsi"/>
                <w:kern w:val="2"/>
                <w:lang w:val="en-AU" w:eastAsia="en-AU"/>
                <w14:ligatures w14:val="standardContextual"/>
              </w:rPr>
              <w:tab/>
            </w:r>
            <w:r w:rsidR="00021BA5" w:rsidRPr="00084B45">
              <w:rPr>
                <w:rStyle w:val="Hyperlink"/>
                <w:rFonts w:cstheme="minorHAnsi"/>
              </w:rPr>
              <w:t>Reports, complaints and grievances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_Toc140251716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13</w:t>
            </w:r>
            <w:r w:rsidR="00021BA5" w:rsidRPr="00084B45">
              <w:rPr>
                <w:rFonts w:cstheme="minorHAnsi"/>
                <w:webHidden/>
              </w:rPr>
              <w:fldChar w:fldCharType="end"/>
            </w:r>
          </w:hyperlink>
        </w:p>
        <w:p w14:paraId="630AE839" w14:textId="33B5AAD5" w:rsidR="00021BA5" w:rsidRPr="00084B45" w:rsidRDefault="00000000" w:rsidP="007A1730">
          <w:pPr>
            <w:pStyle w:val="TOC3"/>
            <w:rPr>
              <w:rFonts w:cstheme="minorHAnsi"/>
              <w:kern w:val="2"/>
              <w:lang w:val="en-AU" w:eastAsia="en-AU"/>
              <w14:ligatures w14:val="standardContextual"/>
            </w:rPr>
          </w:pPr>
          <w:hyperlink w:anchor="_Toc140251717" w:history="1">
            <w:r w:rsidR="00021BA5" w:rsidRPr="00084B45">
              <w:rPr>
                <w:rStyle w:val="Hyperlink"/>
                <w:rFonts w:cstheme="minorHAnsi"/>
              </w:rPr>
              <w:t>(b)</w:t>
            </w:r>
            <w:r w:rsidR="00021BA5" w:rsidRPr="00084B45">
              <w:rPr>
                <w:rFonts w:cstheme="minorHAnsi"/>
                <w:kern w:val="2"/>
                <w:lang w:val="en-AU" w:eastAsia="en-AU"/>
                <w14:ligatures w14:val="standardContextual"/>
              </w:rPr>
              <w:tab/>
            </w:r>
            <w:r w:rsidR="00021BA5" w:rsidRPr="00084B45">
              <w:rPr>
                <w:rStyle w:val="Hyperlink"/>
                <w:rFonts w:cstheme="minorHAnsi"/>
              </w:rPr>
              <w:t>When will a report be a PID?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_Toc140251717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13</w:t>
            </w:r>
            <w:r w:rsidR="00021BA5" w:rsidRPr="00084B45">
              <w:rPr>
                <w:rFonts w:cstheme="minorHAnsi"/>
                <w:webHidden/>
              </w:rPr>
              <w:fldChar w:fldCharType="end"/>
            </w:r>
          </w:hyperlink>
        </w:p>
        <w:p w14:paraId="347BC4D3" w14:textId="714E0E9A" w:rsidR="00021BA5" w:rsidRPr="00084B45" w:rsidRDefault="00000000" w:rsidP="007A1730">
          <w:pPr>
            <w:pStyle w:val="TOC3"/>
            <w:rPr>
              <w:rFonts w:cstheme="minorHAnsi"/>
              <w:kern w:val="2"/>
              <w:lang w:val="en-AU" w:eastAsia="en-AU"/>
              <w14:ligatures w14:val="standardContextual"/>
            </w:rPr>
          </w:pPr>
          <w:hyperlink w:anchor="_Toc140251718" w:history="1">
            <w:r w:rsidR="00021BA5" w:rsidRPr="00084B45">
              <w:rPr>
                <w:rStyle w:val="Hyperlink"/>
                <w:rFonts w:cstheme="minorHAnsi"/>
              </w:rPr>
              <w:t>(c)</w:t>
            </w:r>
            <w:r w:rsidR="00021BA5" w:rsidRPr="00084B45">
              <w:rPr>
                <w:rFonts w:cstheme="minorHAnsi"/>
                <w:kern w:val="2"/>
                <w:lang w:val="en-AU" w:eastAsia="en-AU"/>
                <w14:ligatures w14:val="standardContextual"/>
              </w:rPr>
              <w:tab/>
            </w:r>
            <w:r w:rsidR="00021BA5" w:rsidRPr="00084B45">
              <w:rPr>
                <w:rStyle w:val="Hyperlink"/>
                <w:rFonts w:cstheme="minorHAnsi"/>
              </w:rPr>
              <w:t>Who can make a voluntary PID?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_Toc140251718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14</w:t>
            </w:r>
            <w:r w:rsidR="00021BA5" w:rsidRPr="00084B45">
              <w:rPr>
                <w:rFonts w:cstheme="minorHAnsi"/>
                <w:webHidden/>
              </w:rPr>
              <w:fldChar w:fldCharType="end"/>
            </w:r>
          </w:hyperlink>
        </w:p>
        <w:p w14:paraId="0B3A9EA2" w14:textId="1E0D8C78" w:rsidR="00021BA5" w:rsidRPr="00084B45" w:rsidRDefault="00000000" w:rsidP="007A1730">
          <w:pPr>
            <w:pStyle w:val="TOC3"/>
            <w:rPr>
              <w:rFonts w:cstheme="minorHAnsi"/>
              <w:kern w:val="2"/>
              <w:lang w:val="en-AU" w:eastAsia="en-AU"/>
              <w14:ligatures w14:val="standardContextual"/>
            </w:rPr>
          </w:pPr>
          <w:hyperlink w:anchor="_Toc140251719" w:history="1">
            <w:r w:rsidR="00021BA5" w:rsidRPr="00084B45">
              <w:rPr>
                <w:rStyle w:val="Hyperlink"/>
                <w:rFonts w:cstheme="minorHAnsi"/>
              </w:rPr>
              <w:t>(d)</w:t>
            </w:r>
            <w:r w:rsidR="00021BA5" w:rsidRPr="00084B45">
              <w:rPr>
                <w:rFonts w:cstheme="minorHAnsi"/>
                <w:kern w:val="2"/>
                <w:lang w:val="en-AU" w:eastAsia="en-AU"/>
                <w14:ligatures w14:val="standardContextual"/>
              </w:rPr>
              <w:tab/>
            </w:r>
            <w:r w:rsidR="00021BA5" w:rsidRPr="00084B45">
              <w:rPr>
                <w:rStyle w:val="Hyperlink"/>
                <w:rFonts w:cstheme="minorHAnsi"/>
              </w:rPr>
              <w:t>What is serious wrongdoing?</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_Toc140251719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15</w:t>
            </w:r>
            <w:r w:rsidR="00021BA5" w:rsidRPr="00084B45">
              <w:rPr>
                <w:rFonts w:cstheme="minorHAnsi"/>
                <w:webHidden/>
              </w:rPr>
              <w:fldChar w:fldCharType="end"/>
            </w:r>
          </w:hyperlink>
        </w:p>
        <w:p w14:paraId="62E4675E" w14:textId="454D4FE9" w:rsidR="00021BA5" w:rsidRPr="00084B45" w:rsidRDefault="00000000" w:rsidP="007A1730">
          <w:pPr>
            <w:pStyle w:val="TOC3"/>
            <w:rPr>
              <w:rFonts w:cstheme="minorHAnsi"/>
              <w:kern w:val="2"/>
              <w:lang w:val="en-AU" w:eastAsia="en-AU"/>
              <w14:ligatures w14:val="standardContextual"/>
            </w:rPr>
          </w:pPr>
          <w:hyperlink w:anchor="_Toc140251720" w:history="1">
            <w:r w:rsidR="00021BA5" w:rsidRPr="00084B45">
              <w:rPr>
                <w:rStyle w:val="Hyperlink"/>
                <w:rFonts w:cstheme="minorHAnsi"/>
              </w:rPr>
              <w:t>(e)</w:t>
            </w:r>
            <w:r w:rsidR="00021BA5" w:rsidRPr="00084B45">
              <w:rPr>
                <w:rFonts w:cstheme="minorHAnsi"/>
                <w:kern w:val="2"/>
                <w:lang w:val="en-AU" w:eastAsia="en-AU"/>
                <w14:ligatures w14:val="standardContextual"/>
              </w:rPr>
              <w:tab/>
            </w:r>
            <w:r w:rsidR="00021BA5" w:rsidRPr="00084B45">
              <w:rPr>
                <w:rStyle w:val="Hyperlink"/>
                <w:rFonts w:cstheme="minorHAnsi"/>
              </w:rPr>
              <w:t>Who can I make a voluntary PID to?</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_Toc140251720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16</w:t>
            </w:r>
            <w:r w:rsidR="00021BA5" w:rsidRPr="00084B45">
              <w:rPr>
                <w:rFonts w:cstheme="minorHAnsi"/>
                <w:webHidden/>
              </w:rPr>
              <w:fldChar w:fldCharType="end"/>
            </w:r>
          </w:hyperlink>
        </w:p>
        <w:p w14:paraId="6F5E7C07" w14:textId="1135020A" w:rsidR="00021BA5" w:rsidRPr="00084B45" w:rsidRDefault="00000000" w:rsidP="007A1730">
          <w:pPr>
            <w:pStyle w:val="TOC3"/>
            <w:rPr>
              <w:rFonts w:cstheme="minorHAnsi"/>
              <w:kern w:val="2"/>
              <w:lang w:val="en-AU" w:eastAsia="en-AU"/>
              <w14:ligatures w14:val="standardContextual"/>
            </w:rPr>
          </w:pPr>
          <w:hyperlink w:anchor="_Toc140251721" w:history="1">
            <w:r w:rsidR="00021BA5" w:rsidRPr="00084B45">
              <w:rPr>
                <w:rStyle w:val="Hyperlink"/>
                <w:rFonts w:cstheme="minorHAnsi"/>
              </w:rPr>
              <w:t>(f)</w:t>
            </w:r>
            <w:r w:rsidR="00021BA5" w:rsidRPr="00084B45">
              <w:rPr>
                <w:rFonts w:cstheme="minorHAnsi"/>
                <w:kern w:val="2"/>
                <w:lang w:val="en-AU" w:eastAsia="en-AU"/>
                <w14:ligatures w14:val="standardContextual"/>
              </w:rPr>
              <w:tab/>
            </w:r>
            <w:r w:rsidR="00021BA5" w:rsidRPr="00084B45">
              <w:rPr>
                <w:rStyle w:val="Hyperlink"/>
                <w:rFonts w:cstheme="minorHAnsi"/>
              </w:rPr>
              <w:t>What form should a voluntary PID take?</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_Toc140251721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17</w:t>
            </w:r>
            <w:r w:rsidR="00021BA5" w:rsidRPr="00084B45">
              <w:rPr>
                <w:rFonts w:cstheme="minorHAnsi"/>
                <w:webHidden/>
              </w:rPr>
              <w:fldChar w:fldCharType="end"/>
            </w:r>
          </w:hyperlink>
        </w:p>
        <w:p w14:paraId="16C9148D" w14:textId="2A472EA0" w:rsidR="00021BA5" w:rsidRPr="00084B45" w:rsidRDefault="00000000" w:rsidP="007A1730">
          <w:pPr>
            <w:pStyle w:val="TOC3"/>
            <w:rPr>
              <w:rFonts w:cstheme="minorHAnsi"/>
              <w:kern w:val="2"/>
              <w:lang w:val="en-AU" w:eastAsia="en-AU"/>
              <w14:ligatures w14:val="standardContextual"/>
            </w:rPr>
          </w:pPr>
          <w:hyperlink w:anchor="_Toc140251722" w:history="1">
            <w:r w:rsidR="00021BA5" w:rsidRPr="00084B45">
              <w:rPr>
                <w:rStyle w:val="Hyperlink"/>
                <w:rFonts w:cstheme="minorHAnsi"/>
              </w:rPr>
              <w:t>(g)</w:t>
            </w:r>
            <w:r w:rsidR="00021BA5" w:rsidRPr="00084B45">
              <w:rPr>
                <w:rFonts w:cstheme="minorHAnsi"/>
                <w:kern w:val="2"/>
                <w:lang w:val="en-AU" w:eastAsia="en-AU"/>
                <w14:ligatures w14:val="standardContextual"/>
              </w:rPr>
              <w:tab/>
            </w:r>
            <w:r w:rsidR="00021BA5" w:rsidRPr="00084B45">
              <w:rPr>
                <w:rStyle w:val="Hyperlink"/>
                <w:rFonts w:cstheme="minorHAnsi"/>
              </w:rPr>
              <w:t>What should I include in my report?</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_Toc140251722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18</w:t>
            </w:r>
            <w:r w:rsidR="00021BA5" w:rsidRPr="00084B45">
              <w:rPr>
                <w:rFonts w:cstheme="minorHAnsi"/>
                <w:webHidden/>
              </w:rPr>
              <w:fldChar w:fldCharType="end"/>
            </w:r>
          </w:hyperlink>
        </w:p>
        <w:p w14:paraId="3B263060" w14:textId="46D71604" w:rsidR="00021BA5" w:rsidRPr="00084B45" w:rsidRDefault="00000000" w:rsidP="007A1730">
          <w:pPr>
            <w:pStyle w:val="TOC3"/>
            <w:rPr>
              <w:rFonts w:cstheme="minorHAnsi"/>
              <w:kern w:val="2"/>
              <w:lang w:val="en-AU" w:eastAsia="en-AU"/>
              <w14:ligatures w14:val="standardContextual"/>
            </w:rPr>
          </w:pPr>
          <w:hyperlink w:anchor="_Toc140251723" w:history="1">
            <w:r w:rsidR="00021BA5" w:rsidRPr="00084B45">
              <w:rPr>
                <w:rStyle w:val="Hyperlink"/>
                <w:rFonts w:cstheme="minorHAnsi"/>
              </w:rPr>
              <w:t>(h)</w:t>
            </w:r>
            <w:r w:rsidR="00021BA5" w:rsidRPr="00084B45">
              <w:rPr>
                <w:rFonts w:cstheme="minorHAnsi"/>
                <w:kern w:val="2"/>
                <w:lang w:val="en-AU" w:eastAsia="en-AU"/>
                <w14:ligatures w14:val="standardContextual"/>
              </w:rPr>
              <w:tab/>
            </w:r>
            <w:r w:rsidR="00021BA5" w:rsidRPr="00084B45">
              <w:rPr>
                <w:rStyle w:val="Hyperlink"/>
                <w:rFonts w:cstheme="minorHAnsi"/>
              </w:rPr>
              <w:t>What if I am not sure if my report is a PID?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_Toc140251723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18</w:t>
            </w:r>
            <w:r w:rsidR="00021BA5" w:rsidRPr="00084B45">
              <w:rPr>
                <w:rFonts w:cstheme="minorHAnsi"/>
                <w:webHidden/>
              </w:rPr>
              <w:fldChar w:fldCharType="end"/>
            </w:r>
          </w:hyperlink>
        </w:p>
        <w:p w14:paraId="431AB3D5" w14:textId="3612C52E" w:rsidR="00021BA5" w:rsidRPr="00084B45" w:rsidRDefault="00000000" w:rsidP="007A1730">
          <w:pPr>
            <w:pStyle w:val="TOC3"/>
            <w:rPr>
              <w:rFonts w:cstheme="minorHAnsi"/>
              <w:kern w:val="2"/>
              <w:lang w:val="en-AU" w:eastAsia="en-AU"/>
              <w14:ligatures w14:val="standardContextual"/>
            </w:rPr>
          </w:pPr>
          <w:hyperlink w:anchor="_Toc140251724" w:history="1">
            <w:r w:rsidR="00021BA5" w:rsidRPr="00084B45">
              <w:rPr>
                <w:rStyle w:val="Hyperlink"/>
                <w:rFonts w:eastAsia="Calibri" w:cstheme="minorHAnsi"/>
              </w:rPr>
              <w:t>(i)</w:t>
            </w:r>
            <w:r w:rsidR="00021BA5" w:rsidRPr="00084B45">
              <w:rPr>
                <w:rFonts w:cstheme="minorHAnsi"/>
                <w:kern w:val="2"/>
                <w:lang w:val="en-AU" w:eastAsia="en-AU"/>
                <w14:ligatures w14:val="standardContextual"/>
              </w:rPr>
              <w:tab/>
            </w:r>
            <w:r w:rsidR="00021BA5" w:rsidRPr="00084B45">
              <w:rPr>
                <w:rStyle w:val="Hyperlink"/>
                <w:rFonts w:eastAsia="Calibri" w:cstheme="minorHAnsi"/>
              </w:rPr>
              <w:t>Deeming that a report is a voluntary PID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_Toc140251724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18</w:t>
            </w:r>
            <w:r w:rsidR="00021BA5" w:rsidRPr="00084B45">
              <w:rPr>
                <w:rFonts w:cstheme="minorHAnsi"/>
                <w:webHidden/>
              </w:rPr>
              <w:fldChar w:fldCharType="end"/>
            </w:r>
          </w:hyperlink>
        </w:p>
        <w:p w14:paraId="7271CDDD" w14:textId="5BA50A7A" w:rsidR="00021BA5" w:rsidRPr="00084B45" w:rsidRDefault="00000000" w:rsidP="007A1730">
          <w:pPr>
            <w:pStyle w:val="TOC3"/>
            <w:rPr>
              <w:rFonts w:cstheme="minorHAnsi"/>
              <w:kern w:val="2"/>
              <w:lang w:val="en-AU" w:eastAsia="en-AU"/>
              <w14:ligatures w14:val="standardContextual"/>
            </w:rPr>
          </w:pPr>
          <w:hyperlink w:anchor="_Toc140251725" w:history="1">
            <w:r w:rsidR="00021BA5" w:rsidRPr="00084B45">
              <w:rPr>
                <w:rStyle w:val="Hyperlink"/>
                <w:rFonts w:eastAsia="Calibri" w:cstheme="minorHAnsi"/>
              </w:rPr>
              <w:t>(j)</w:t>
            </w:r>
            <w:r w:rsidR="00021BA5" w:rsidRPr="00084B45">
              <w:rPr>
                <w:rFonts w:cstheme="minorHAnsi"/>
                <w:kern w:val="2"/>
                <w:lang w:val="en-AU" w:eastAsia="en-AU"/>
                <w14:ligatures w14:val="standardContextual"/>
              </w:rPr>
              <w:tab/>
            </w:r>
            <w:r w:rsidR="00021BA5" w:rsidRPr="00084B45">
              <w:rPr>
                <w:rStyle w:val="Hyperlink"/>
                <w:rFonts w:eastAsia="Calibri" w:cstheme="minorHAnsi"/>
              </w:rPr>
              <w:t>Who can I talk to if I have questions or concerns?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_Toc140251725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19</w:t>
            </w:r>
            <w:r w:rsidR="00021BA5" w:rsidRPr="00084B45">
              <w:rPr>
                <w:rFonts w:cstheme="minorHAnsi"/>
                <w:webHidden/>
              </w:rPr>
              <w:fldChar w:fldCharType="end"/>
            </w:r>
          </w:hyperlink>
        </w:p>
        <w:p w14:paraId="12F38F2C" w14:textId="0CA39C84" w:rsidR="00021BA5" w:rsidRPr="00084B45" w:rsidRDefault="00000000" w:rsidP="000A1083">
          <w:pPr>
            <w:pStyle w:val="TOC2"/>
            <w:rPr>
              <w:rFonts w:eastAsiaTheme="minorEastAsia"/>
              <w:kern w:val="2"/>
              <w:lang w:eastAsia="en-AU"/>
              <w14:ligatures w14:val="standardContextual"/>
            </w:rPr>
          </w:pPr>
          <w:hyperlink w:anchor="_Toc140251726" w:history="1">
            <w:r w:rsidR="00021BA5" w:rsidRPr="00084B45">
              <w:rPr>
                <w:rStyle w:val="Hyperlink"/>
              </w:rPr>
              <w:t>2.</w:t>
            </w:r>
            <w:r w:rsidR="00021BA5" w:rsidRPr="00084B45">
              <w:rPr>
                <w:rFonts w:eastAsiaTheme="minorEastAsia"/>
                <w:kern w:val="2"/>
                <w:lang w:eastAsia="en-AU"/>
                <w14:ligatures w14:val="standardContextual"/>
              </w:rPr>
              <w:tab/>
            </w:r>
            <w:r w:rsidR="00021BA5" w:rsidRPr="00084B45">
              <w:rPr>
                <w:rStyle w:val="Hyperlink"/>
              </w:rPr>
              <w:t>Protections</w:t>
            </w:r>
            <w:r w:rsidR="00021BA5" w:rsidRPr="00084B45">
              <w:rPr>
                <w:webHidden/>
              </w:rPr>
              <w:tab/>
            </w:r>
            <w:r w:rsidR="00021BA5" w:rsidRPr="00084B45">
              <w:rPr>
                <w:webHidden/>
              </w:rPr>
              <w:fldChar w:fldCharType="begin"/>
            </w:r>
            <w:r w:rsidR="00021BA5" w:rsidRPr="00084B45">
              <w:rPr>
                <w:webHidden/>
              </w:rPr>
              <w:instrText xml:space="preserve"> PAGEREF _Toc140251726 \h </w:instrText>
            </w:r>
            <w:r w:rsidR="00021BA5" w:rsidRPr="00084B45">
              <w:rPr>
                <w:webHidden/>
              </w:rPr>
            </w:r>
            <w:r w:rsidR="00021BA5" w:rsidRPr="00084B45">
              <w:rPr>
                <w:webHidden/>
              </w:rPr>
              <w:fldChar w:fldCharType="separate"/>
            </w:r>
            <w:r w:rsidR="009C6B50">
              <w:rPr>
                <w:webHidden/>
              </w:rPr>
              <w:t>19</w:t>
            </w:r>
            <w:r w:rsidR="00021BA5" w:rsidRPr="00084B45">
              <w:rPr>
                <w:webHidden/>
              </w:rPr>
              <w:fldChar w:fldCharType="end"/>
            </w:r>
          </w:hyperlink>
        </w:p>
        <w:p w14:paraId="24C85670" w14:textId="0C8364E1" w:rsidR="00021BA5" w:rsidRPr="00084B45" w:rsidRDefault="00000000" w:rsidP="007A1730">
          <w:pPr>
            <w:pStyle w:val="TOC3"/>
            <w:rPr>
              <w:rFonts w:cstheme="minorHAnsi"/>
              <w:kern w:val="2"/>
              <w:lang w:val="en-AU" w:eastAsia="en-AU"/>
              <w14:ligatures w14:val="standardContextual"/>
            </w:rPr>
          </w:pPr>
          <w:hyperlink w:anchor="_Toc140251727" w:history="1">
            <w:r w:rsidR="00021BA5" w:rsidRPr="00084B45">
              <w:rPr>
                <w:rStyle w:val="Hyperlink"/>
                <w:rFonts w:cstheme="minorHAnsi"/>
              </w:rPr>
              <w:t>(a)</w:t>
            </w:r>
            <w:r w:rsidR="00021BA5" w:rsidRPr="00084B45">
              <w:rPr>
                <w:rFonts w:cstheme="minorHAnsi"/>
                <w:kern w:val="2"/>
                <w:lang w:val="en-AU" w:eastAsia="en-AU"/>
                <w14:ligatures w14:val="standardContextual"/>
              </w:rPr>
              <w:tab/>
            </w:r>
            <w:r w:rsidR="00021BA5" w:rsidRPr="00084B45">
              <w:rPr>
                <w:rStyle w:val="Hyperlink"/>
                <w:rFonts w:cstheme="minorHAnsi"/>
              </w:rPr>
              <w:t>How is the maker of a voluntary PID protected?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_Toc140251727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19</w:t>
            </w:r>
            <w:r w:rsidR="00021BA5" w:rsidRPr="00084B45">
              <w:rPr>
                <w:rFonts w:cstheme="minorHAnsi"/>
                <w:webHidden/>
              </w:rPr>
              <w:fldChar w:fldCharType="end"/>
            </w:r>
          </w:hyperlink>
        </w:p>
        <w:p w14:paraId="34A8DD28" w14:textId="19E5CDB9" w:rsidR="00021BA5" w:rsidRPr="00084B45" w:rsidRDefault="00000000" w:rsidP="007A1730">
          <w:pPr>
            <w:pStyle w:val="TOC3"/>
            <w:rPr>
              <w:rFonts w:cstheme="minorHAnsi"/>
              <w:kern w:val="2"/>
              <w:lang w:val="en-AU" w:eastAsia="en-AU"/>
              <w14:ligatures w14:val="standardContextual"/>
            </w:rPr>
          </w:pPr>
          <w:hyperlink w:anchor="_Toc140251728" w:history="1">
            <w:r w:rsidR="00021BA5" w:rsidRPr="00084B45">
              <w:rPr>
                <w:rStyle w:val="Hyperlink"/>
                <w:rFonts w:cstheme="minorHAnsi"/>
              </w:rPr>
              <w:t>(b)</w:t>
            </w:r>
            <w:r w:rsidR="00021BA5" w:rsidRPr="00084B45">
              <w:rPr>
                <w:rFonts w:cstheme="minorHAnsi"/>
                <w:kern w:val="2"/>
                <w:lang w:val="en-AU" w:eastAsia="en-AU"/>
                <w14:ligatures w14:val="standardContextual"/>
              </w:rPr>
              <w:tab/>
            </w:r>
            <w:r w:rsidR="00021BA5" w:rsidRPr="00084B45">
              <w:rPr>
                <w:rStyle w:val="Hyperlink"/>
                <w:rFonts w:cstheme="minorHAnsi"/>
              </w:rPr>
              <w:t>Protections for people who make mandatory and witness PIDs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_Toc140251728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20</w:t>
            </w:r>
            <w:r w:rsidR="00021BA5" w:rsidRPr="00084B45">
              <w:rPr>
                <w:rFonts w:cstheme="minorHAnsi"/>
                <w:webHidden/>
              </w:rPr>
              <w:fldChar w:fldCharType="end"/>
            </w:r>
          </w:hyperlink>
        </w:p>
        <w:p w14:paraId="4D391289" w14:textId="0A138877" w:rsidR="00021BA5" w:rsidRPr="00084B45" w:rsidRDefault="00000000" w:rsidP="000A1083">
          <w:pPr>
            <w:pStyle w:val="TOC2"/>
            <w:rPr>
              <w:rFonts w:eastAsiaTheme="minorEastAsia"/>
              <w:kern w:val="2"/>
              <w:lang w:eastAsia="en-AU"/>
              <w14:ligatures w14:val="standardContextual"/>
            </w:rPr>
          </w:pPr>
          <w:hyperlink w:anchor="_Toc140251729" w:history="1">
            <w:r w:rsidR="00021BA5" w:rsidRPr="00084B45">
              <w:rPr>
                <w:rStyle w:val="Hyperlink"/>
              </w:rPr>
              <w:t>3.</w:t>
            </w:r>
            <w:r w:rsidR="00021BA5" w:rsidRPr="00084B45">
              <w:rPr>
                <w:rFonts w:eastAsiaTheme="minorEastAsia"/>
                <w:kern w:val="2"/>
                <w:lang w:eastAsia="en-AU"/>
                <w14:ligatures w14:val="standardContextual"/>
              </w:rPr>
              <w:tab/>
            </w:r>
            <w:r w:rsidR="00021BA5" w:rsidRPr="00084B45">
              <w:rPr>
                <w:rStyle w:val="Hyperlink"/>
              </w:rPr>
              <w:t>Reporting detrimental action</w:t>
            </w:r>
            <w:r w:rsidR="00021BA5" w:rsidRPr="00084B45">
              <w:rPr>
                <w:webHidden/>
              </w:rPr>
              <w:tab/>
            </w:r>
            <w:r w:rsidR="00021BA5" w:rsidRPr="00084B45">
              <w:rPr>
                <w:webHidden/>
              </w:rPr>
              <w:fldChar w:fldCharType="begin"/>
            </w:r>
            <w:r w:rsidR="00021BA5" w:rsidRPr="00084B45">
              <w:rPr>
                <w:webHidden/>
              </w:rPr>
              <w:instrText xml:space="preserve"> PAGEREF _Toc140251729 \h </w:instrText>
            </w:r>
            <w:r w:rsidR="00021BA5" w:rsidRPr="00084B45">
              <w:rPr>
                <w:webHidden/>
              </w:rPr>
            </w:r>
            <w:r w:rsidR="00021BA5" w:rsidRPr="00084B45">
              <w:rPr>
                <w:webHidden/>
              </w:rPr>
              <w:fldChar w:fldCharType="separate"/>
            </w:r>
            <w:r w:rsidR="009C6B50">
              <w:rPr>
                <w:webHidden/>
              </w:rPr>
              <w:t>21</w:t>
            </w:r>
            <w:r w:rsidR="00021BA5" w:rsidRPr="00084B45">
              <w:rPr>
                <w:webHidden/>
              </w:rPr>
              <w:fldChar w:fldCharType="end"/>
            </w:r>
          </w:hyperlink>
        </w:p>
        <w:p w14:paraId="2188E4CB" w14:textId="696FA5C0" w:rsidR="00021BA5" w:rsidRPr="00084B45" w:rsidRDefault="00000000" w:rsidP="000A1083">
          <w:pPr>
            <w:pStyle w:val="TOC2"/>
            <w:rPr>
              <w:rFonts w:eastAsiaTheme="minorEastAsia"/>
              <w:kern w:val="2"/>
              <w:lang w:eastAsia="en-AU"/>
              <w14:ligatures w14:val="standardContextual"/>
            </w:rPr>
          </w:pPr>
          <w:hyperlink w:anchor="_Toc140251730" w:history="1">
            <w:r w:rsidR="00021BA5" w:rsidRPr="00084B45">
              <w:rPr>
                <w:rStyle w:val="Hyperlink"/>
              </w:rPr>
              <w:t>4.</w:t>
            </w:r>
            <w:r w:rsidR="00021BA5" w:rsidRPr="00084B45">
              <w:rPr>
                <w:rFonts w:eastAsiaTheme="minorEastAsia"/>
                <w:kern w:val="2"/>
                <w:lang w:eastAsia="en-AU"/>
                <w14:ligatures w14:val="standardContextual"/>
              </w:rPr>
              <w:tab/>
            </w:r>
            <w:r w:rsidR="00021BA5" w:rsidRPr="00084B45">
              <w:rPr>
                <w:rStyle w:val="Hyperlink"/>
              </w:rPr>
              <w:t>General support</w:t>
            </w:r>
            <w:r w:rsidR="00021BA5" w:rsidRPr="00084B45">
              <w:rPr>
                <w:webHidden/>
              </w:rPr>
              <w:tab/>
            </w:r>
            <w:r w:rsidR="00021BA5" w:rsidRPr="00084B45">
              <w:rPr>
                <w:webHidden/>
              </w:rPr>
              <w:fldChar w:fldCharType="begin"/>
            </w:r>
            <w:r w:rsidR="00021BA5" w:rsidRPr="00084B45">
              <w:rPr>
                <w:webHidden/>
              </w:rPr>
              <w:instrText xml:space="preserve"> PAGEREF _Toc140251730 \h </w:instrText>
            </w:r>
            <w:r w:rsidR="00021BA5" w:rsidRPr="00084B45">
              <w:rPr>
                <w:webHidden/>
              </w:rPr>
            </w:r>
            <w:r w:rsidR="00021BA5" w:rsidRPr="00084B45">
              <w:rPr>
                <w:webHidden/>
              </w:rPr>
              <w:fldChar w:fldCharType="separate"/>
            </w:r>
            <w:r w:rsidR="009C6B50">
              <w:rPr>
                <w:webHidden/>
              </w:rPr>
              <w:t>21</w:t>
            </w:r>
            <w:r w:rsidR="00021BA5" w:rsidRPr="00084B45">
              <w:rPr>
                <w:webHidden/>
              </w:rPr>
              <w:fldChar w:fldCharType="end"/>
            </w:r>
          </w:hyperlink>
        </w:p>
        <w:p w14:paraId="1BBDFD1D" w14:textId="366BA697" w:rsidR="00021BA5" w:rsidRPr="00084B45" w:rsidRDefault="00000000" w:rsidP="000A1083">
          <w:pPr>
            <w:pStyle w:val="TOC2"/>
            <w:rPr>
              <w:rFonts w:eastAsiaTheme="minorEastAsia"/>
              <w:kern w:val="2"/>
              <w:lang w:eastAsia="en-AU"/>
              <w14:ligatures w14:val="standardContextual"/>
            </w:rPr>
          </w:pPr>
          <w:hyperlink w:anchor="_Toc140251731" w:history="1">
            <w:r w:rsidR="00021BA5" w:rsidRPr="00084B45">
              <w:rPr>
                <w:rStyle w:val="Hyperlink"/>
              </w:rPr>
              <w:t>5.</w:t>
            </w:r>
            <w:r w:rsidR="00021BA5" w:rsidRPr="00084B45">
              <w:rPr>
                <w:rFonts w:eastAsiaTheme="minorEastAsia"/>
                <w:kern w:val="2"/>
                <w:lang w:eastAsia="en-AU"/>
                <w14:ligatures w14:val="standardContextual"/>
              </w:rPr>
              <w:tab/>
            </w:r>
            <w:r w:rsidR="00021BA5" w:rsidRPr="00084B45">
              <w:rPr>
                <w:rStyle w:val="Hyperlink"/>
              </w:rPr>
              <w:t>Roles and responsibilities of [agency name] employees</w:t>
            </w:r>
            <w:r w:rsidR="00021BA5" w:rsidRPr="00084B45">
              <w:rPr>
                <w:webHidden/>
              </w:rPr>
              <w:tab/>
            </w:r>
            <w:r w:rsidR="00021BA5" w:rsidRPr="00084B45">
              <w:rPr>
                <w:webHidden/>
              </w:rPr>
              <w:fldChar w:fldCharType="begin"/>
            </w:r>
            <w:r w:rsidR="00021BA5" w:rsidRPr="00084B45">
              <w:rPr>
                <w:webHidden/>
              </w:rPr>
              <w:instrText xml:space="preserve"> PAGEREF _Toc140251731 \h </w:instrText>
            </w:r>
            <w:r w:rsidR="00021BA5" w:rsidRPr="00084B45">
              <w:rPr>
                <w:webHidden/>
              </w:rPr>
            </w:r>
            <w:r w:rsidR="00021BA5" w:rsidRPr="00084B45">
              <w:rPr>
                <w:webHidden/>
              </w:rPr>
              <w:fldChar w:fldCharType="separate"/>
            </w:r>
            <w:r w:rsidR="009C6B50">
              <w:rPr>
                <w:webHidden/>
              </w:rPr>
              <w:t>22</w:t>
            </w:r>
            <w:r w:rsidR="00021BA5" w:rsidRPr="00084B45">
              <w:rPr>
                <w:webHidden/>
              </w:rPr>
              <w:fldChar w:fldCharType="end"/>
            </w:r>
          </w:hyperlink>
        </w:p>
        <w:p w14:paraId="62A4124E" w14:textId="66BF8DB1" w:rsidR="00021BA5" w:rsidRPr="00084B45" w:rsidRDefault="00000000" w:rsidP="007A1730">
          <w:pPr>
            <w:pStyle w:val="TOC3"/>
            <w:rPr>
              <w:rFonts w:cstheme="minorHAnsi"/>
              <w:kern w:val="2"/>
              <w:lang w:val="en-AU" w:eastAsia="en-AU"/>
              <w14:ligatures w14:val="standardContextual"/>
            </w:rPr>
          </w:pPr>
          <w:hyperlink w:anchor="_Toc140251732" w:history="1">
            <w:r w:rsidR="00021BA5" w:rsidRPr="00084B45">
              <w:rPr>
                <w:rStyle w:val="Hyperlink"/>
                <w:rFonts w:cstheme="minorHAnsi"/>
              </w:rPr>
              <w:t>[Head of agency]</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_Toc140251732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22</w:t>
            </w:r>
            <w:r w:rsidR="00021BA5" w:rsidRPr="00084B45">
              <w:rPr>
                <w:rFonts w:cstheme="minorHAnsi"/>
                <w:webHidden/>
              </w:rPr>
              <w:fldChar w:fldCharType="end"/>
            </w:r>
          </w:hyperlink>
        </w:p>
        <w:p w14:paraId="4B5F3332" w14:textId="2E71B8F9" w:rsidR="00021BA5" w:rsidRPr="00084B45" w:rsidRDefault="00000000" w:rsidP="007A1730">
          <w:pPr>
            <w:pStyle w:val="TOC3"/>
            <w:rPr>
              <w:rFonts w:cstheme="minorHAnsi"/>
              <w:kern w:val="2"/>
              <w:lang w:val="en-AU" w:eastAsia="en-AU"/>
              <w14:ligatures w14:val="standardContextual"/>
            </w:rPr>
          </w:pPr>
          <w:hyperlink w:anchor="_Toc140251733" w:history="1">
            <w:r w:rsidR="00021BA5" w:rsidRPr="00084B45">
              <w:rPr>
                <w:rStyle w:val="Hyperlink"/>
                <w:rFonts w:eastAsia="Times New Roman" w:cstheme="minorHAnsi"/>
                <w:lang w:bidi="en-US"/>
              </w:rPr>
              <w:t>(a)</w:t>
            </w:r>
            <w:r w:rsidR="00021BA5" w:rsidRPr="00084B45">
              <w:rPr>
                <w:rFonts w:cstheme="minorHAnsi"/>
                <w:kern w:val="2"/>
                <w:lang w:val="en-AU" w:eastAsia="en-AU"/>
                <w14:ligatures w14:val="standardContextual"/>
              </w:rPr>
              <w:tab/>
            </w:r>
            <w:r w:rsidR="00021BA5" w:rsidRPr="00084B45">
              <w:rPr>
                <w:rStyle w:val="Hyperlink"/>
                <w:rFonts w:eastAsia="Times New Roman" w:cstheme="minorHAnsi"/>
                <w:lang w:bidi="en-US"/>
              </w:rPr>
              <w:t xml:space="preserve">The </w:t>
            </w:r>
            <w:r w:rsidR="00021BA5" w:rsidRPr="00084B45">
              <w:rPr>
                <w:rStyle w:val="Hyperlink"/>
                <w:rFonts w:eastAsia="Times New Roman" w:cstheme="minorHAnsi"/>
                <w:iCs/>
                <w:lang w:bidi="en-US"/>
              </w:rPr>
              <w:t>[head of agency]</w:t>
            </w:r>
            <w:r w:rsidR="00021BA5" w:rsidRPr="00084B45">
              <w:rPr>
                <w:rStyle w:val="Hyperlink"/>
                <w:rFonts w:eastAsia="Times New Roman" w:cstheme="minorHAnsi"/>
                <w:i/>
                <w:lang w:bidi="en-US"/>
              </w:rPr>
              <w:t xml:space="preserve"> </w:t>
            </w:r>
            <w:r w:rsidR="00021BA5" w:rsidRPr="00084B45">
              <w:rPr>
                <w:rStyle w:val="Hyperlink"/>
                <w:rFonts w:eastAsia="Times New Roman" w:cstheme="minorHAnsi"/>
                <w:lang w:bidi="en-US"/>
              </w:rPr>
              <w:t>is responsible for:</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_Toc140251733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22</w:t>
            </w:r>
            <w:r w:rsidR="00021BA5" w:rsidRPr="00084B45">
              <w:rPr>
                <w:rFonts w:cstheme="minorHAnsi"/>
                <w:webHidden/>
              </w:rPr>
              <w:fldChar w:fldCharType="end"/>
            </w:r>
          </w:hyperlink>
        </w:p>
        <w:p w14:paraId="1E3BDE7B" w14:textId="647FF336" w:rsidR="00021BA5" w:rsidRPr="00084B45" w:rsidRDefault="00000000" w:rsidP="007A1730">
          <w:pPr>
            <w:pStyle w:val="TOC3"/>
            <w:rPr>
              <w:rFonts w:cstheme="minorHAnsi"/>
              <w:kern w:val="2"/>
              <w:lang w:val="en-AU" w:eastAsia="en-AU"/>
              <w14:ligatures w14:val="standardContextual"/>
            </w:rPr>
          </w:pPr>
          <w:hyperlink w:anchor="_Toc140251734" w:history="1">
            <w:r w:rsidR="00021BA5" w:rsidRPr="00084B45">
              <w:rPr>
                <w:rStyle w:val="Hyperlink"/>
                <w:rFonts w:cstheme="minorHAnsi"/>
              </w:rPr>
              <w:t>(b)</w:t>
            </w:r>
            <w:r w:rsidR="00021BA5" w:rsidRPr="00084B45">
              <w:rPr>
                <w:rFonts w:cstheme="minorHAnsi"/>
                <w:kern w:val="2"/>
                <w:lang w:val="en-AU" w:eastAsia="en-AU"/>
                <w14:ligatures w14:val="standardContextual"/>
              </w:rPr>
              <w:tab/>
            </w:r>
            <w:r w:rsidR="00021BA5" w:rsidRPr="00084B45">
              <w:rPr>
                <w:rStyle w:val="Hyperlink"/>
                <w:rFonts w:cstheme="minorHAnsi"/>
              </w:rPr>
              <w:t>Disclosure officers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_Toc140251734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22</w:t>
            </w:r>
            <w:r w:rsidR="00021BA5" w:rsidRPr="00084B45">
              <w:rPr>
                <w:rFonts w:cstheme="minorHAnsi"/>
                <w:webHidden/>
              </w:rPr>
              <w:fldChar w:fldCharType="end"/>
            </w:r>
          </w:hyperlink>
        </w:p>
        <w:p w14:paraId="79D2DBF0" w14:textId="4D783F95" w:rsidR="00021BA5" w:rsidRPr="00084B45" w:rsidRDefault="00000000" w:rsidP="007A1730">
          <w:pPr>
            <w:pStyle w:val="TOC3"/>
            <w:rPr>
              <w:rFonts w:cstheme="minorHAnsi"/>
              <w:kern w:val="2"/>
              <w:lang w:val="en-AU" w:eastAsia="en-AU"/>
              <w14:ligatures w14:val="standardContextual"/>
            </w:rPr>
          </w:pPr>
          <w:hyperlink w:anchor="_Toc140251735" w:history="1">
            <w:r w:rsidR="00021BA5" w:rsidRPr="00084B45">
              <w:rPr>
                <w:rStyle w:val="Hyperlink"/>
                <w:rFonts w:eastAsia="Times New Roman" w:cstheme="minorHAnsi"/>
                <w:lang w:bidi="en-US"/>
              </w:rPr>
              <w:t>(c)</w:t>
            </w:r>
            <w:r w:rsidR="00021BA5" w:rsidRPr="00084B45">
              <w:rPr>
                <w:rFonts w:cstheme="minorHAnsi"/>
                <w:kern w:val="2"/>
                <w:lang w:val="en-AU" w:eastAsia="en-AU"/>
                <w14:ligatures w14:val="standardContextual"/>
              </w:rPr>
              <w:tab/>
            </w:r>
            <w:r w:rsidR="00021BA5" w:rsidRPr="00084B45">
              <w:rPr>
                <w:rStyle w:val="Hyperlink"/>
                <w:rFonts w:eastAsia="Times New Roman" w:cstheme="minorHAnsi"/>
                <w:lang w:bidi="en-US"/>
              </w:rPr>
              <w:t>Managers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_Toc140251735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22</w:t>
            </w:r>
            <w:r w:rsidR="00021BA5" w:rsidRPr="00084B45">
              <w:rPr>
                <w:rFonts w:cstheme="minorHAnsi"/>
                <w:webHidden/>
              </w:rPr>
              <w:fldChar w:fldCharType="end"/>
            </w:r>
          </w:hyperlink>
        </w:p>
        <w:p w14:paraId="294C7C6D" w14:textId="2501C517" w:rsidR="00021BA5" w:rsidRPr="00084B45" w:rsidRDefault="00000000" w:rsidP="007A1730">
          <w:pPr>
            <w:pStyle w:val="TOC3"/>
            <w:rPr>
              <w:rFonts w:cstheme="minorHAnsi"/>
              <w:kern w:val="2"/>
              <w:lang w:val="en-AU" w:eastAsia="en-AU"/>
              <w14:ligatures w14:val="standardContextual"/>
            </w:rPr>
          </w:pPr>
          <w:hyperlink w:anchor="_Toc140251736" w:history="1">
            <w:r w:rsidR="00021BA5" w:rsidRPr="00084B45">
              <w:rPr>
                <w:rStyle w:val="Hyperlink"/>
                <w:rFonts w:eastAsia="Times New Roman" w:cstheme="minorHAnsi"/>
                <w:lang w:bidi="en-US"/>
              </w:rPr>
              <w:t>(d)</w:t>
            </w:r>
            <w:r w:rsidR="00021BA5" w:rsidRPr="00084B45">
              <w:rPr>
                <w:rFonts w:cstheme="minorHAnsi"/>
                <w:kern w:val="2"/>
                <w:lang w:val="en-AU" w:eastAsia="en-AU"/>
                <w14:ligatures w14:val="standardContextual"/>
              </w:rPr>
              <w:tab/>
            </w:r>
            <w:r w:rsidR="00021BA5" w:rsidRPr="00084B45">
              <w:rPr>
                <w:rStyle w:val="Hyperlink"/>
                <w:rFonts w:eastAsia="Times New Roman" w:cstheme="minorHAnsi"/>
                <w:lang w:bidi="en-US"/>
              </w:rPr>
              <w:t>All employees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_Toc140251736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23</w:t>
            </w:r>
            <w:r w:rsidR="00021BA5" w:rsidRPr="00084B45">
              <w:rPr>
                <w:rFonts w:cstheme="minorHAnsi"/>
                <w:webHidden/>
              </w:rPr>
              <w:fldChar w:fldCharType="end"/>
            </w:r>
          </w:hyperlink>
        </w:p>
        <w:p w14:paraId="764E2D59" w14:textId="4C5C460E" w:rsidR="00021BA5" w:rsidRPr="00084B45" w:rsidRDefault="00000000" w:rsidP="000A1083">
          <w:pPr>
            <w:pStyle w:val="TOC2"/>
            <w:rPr>
              <w:rFonts w:eastAsiaTheme="minorEastAsia"/>
              <w:kern w:val="2"/>
              <w:lang w:eastAsia="en-AU"/>
              <w14:ligatures w14:val="standardContextual"/>
            </w:rPr>
          </w:pPr>
          <w:hyperlink w:anchor="_Toc140251737" w:history="1">
            <w:r w:rsidR="00021BA5" w:rsidRPr="00084B45">
              <w:rPr>
                <w:rStyle w:val="Hyperlink"/>
              </w:rPr>
              <w:t>6.</w:t>
            </w:r>
            <w:r w:rsidR="00021BA5" w:rsidRPr="00084B45">
              <w:rPr>
                <w:rFonts w:eastAsiaTheme="minorEastAsia"/>
                <w:kern w:val="2"/>
                <w:lang w:eastAsia="en-AU"/>
                <w14:ligatures w14:val="standardContextual"/>
              </w:rPr>
              <w:tab/>
            </w:r>
            <w:r w:rsidR="00021BA5" w:rsidRPr="00084B45">
              <w:rPr>
                <w:rStyle w:val="Hyperlink"/>
              </w:rPr>
              <w:t>How we will deal with voluntary PIDs</w:t>
            </w:r>
            <w:r w:rsidR="00021BA5" w:rsidRPr="00084B45">
              <w:rPr>
                <w:webHidden/>
              </w:rPr>
              <w:tab/>
            </w:r>
            <w:r w:rsidR="00021BA5" w:rsidRPr="00084B45">
              <w:rPr>
                <w:webHidden/>
              </w:rPr>
              <w:fldChar w:fldCharType="begin"/>
            </w:r>
            <w:r w:rsidR="00021BA5" w:rsidRPr="00084B45">
              <w:rPr>
                <w:webHidden/>
              </w:rPr>
              <w:instrText xml:space="preserve"> PAGEREF _Toc140251737 \h </w:instrText>
            </w:r>
            <w:r w:rsidR="00021BA5" w:rsidRPr="00084B45">
              <w:rPr>
                <w:webHidden/>
              </w:rPr>
            </w:r>
            <w:r w:rsidR="00021BA5" w:rsidRPr="00084B45">
              <w:rPr>
                <w:webHidden/>
              </w:rPr>
              <w:fldChar w:fldCharType="separate"/>
            </w:r>
            <w:r w:rsidR="009C6B50">
              <w:rPr>
                <w:webHidden/>
              </w:rPr>
              <w:t>23</w:t>
            </w:r>
            <w:r w:rsidR="00021BA5" w:rsidRPr="00084B45">
              <w:rPr>
                <w:webHidden/>
              </w:rPr>
              <w:fldChar w:fldCharType="end"/>
            </w:r>
          </w:hyperlink>
        </w:p>
        <w:p w14:paraId="302EA1AD" w14:textId="73046580" w:rsidR="00021BA5" w:rsidRPr="00084B45" w:rsidRDefault="00000000" w:rsidP="007A1730">
          <w:pPr>
            <w:pStyle w:val="TOC3"/>
            <w:rPr>
              <w:rFonts w:cstheme="minorHAnsi"/>
              <w:kern w:val="2"/>
              <w:lang w:val="en-AU" w:eastAsia="en-AU"/>
              <w14:ligatures w14:val="standardContextual"/>
            </w:rPr>
          </w:pPr>
          <w:hyperlink w:anchor="_Toc140251738" w:history="1">
            <w:r w:rsidR="00021BA5" w:rsidRPr="00084B45">
              <w:rPr>
                <w:rStyle w:val="Hyperlink"/>
                <w:rFonts w:cstheme="minorHAnsi"/>
              </w:rPr>
              <w:t>(a)</w:t>
            </w:r>
            <w:r w:rsidR="00021BA5" w:rsidRPr="00084B45">
              <w:rPr>
                <w:rFonts w:cstheme="minorHAnsi"/>
                <w:kern w:val="2"/>
                <w:lang w:val="en-AU" w:eastAsia="en-AU"/>
                <w14:ligatures w14:val="standardContextual"/>
              </w:rPr>
              <w:tab/>
            </w:r>
            <w:r w:rsidR="00021BA5" w:rsidRPr="00084B45">
              <w:rPr>
                <w:rStyle w:val="Hyperlink"/>
                <w:rFonts w:cstheme="minorHAnsi"/>
              </w:rPr>
              <w:t>How [we/agency name] will acknowledge that we have received a report and keep the person who made it informed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_Toc140251738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23</w:t>
            </w:r>
            <w:r w:rsidR="00021BA5" w:rsidRPr="00084B45">
              <w:rPr>
                <w:rFonts w:cstheme="minorHAnsi"/>
                <w:webHidden/>
              </w:rPr>
              <w:fldChar w:fldCharType="end"/>
            </w:r>
          </w:hyperlink>
        </w:p>
        <w:p w14:paraId="07FD2485" w14:textId="112B6025" w:rsidR="00021BA5" w:rsidRPr="00084B45" w:rsidRDefault="00000000" w:rsidP="007A1730">
          <w:pPr>
            <w:pStyle w:val="TOC3"/>
            <w:rPr>
              <w:rFonts w:cstheme="minorHAnsi"/>
              <w:kern w:val="2"/>
              <w:lang w:val="en-AU" w:eastAsia="en-AU"/>
              <w14:ligatures w14:val="standardContextual"/>
            </w:rPr>
          </w:pPr>
          <w:hyperlink w:anchor="_Toc140251739" w:history="1">
            <w:r w:rsidR="00021BA5" w:rsidRPr="00084B45">
              <w:rPr>
                <w:rStyle w:val="Hyperlink"/>
                <w:rFonts w:cstheme="minorHAnsi"/>
              </w:rPr>
              <w:t>(b)</w:t>
            </w:r>
            <w:r w:rsidR="00021BA5" w:rsidRPr="00084B45">
              <w:rPr>
                <w:rFonts w:cstheme="minorHAnsi"/>
                <w:kern w:val="2"/>
                <w:lang w:val="en-AU" w:eastAsia="en-AU"/>
                <w14:ligatures w14:val="standardContextual"/>
              </w:rPr>
              <w:tab/>
            </w:r>
            <w:r w:rsidR="00021BA5" w:rsidRPr="00084B45">
              <w:rPr>
                <w:rStyle w:val="Hyperlink"/>
                <w:rFonts w:cstheme="minorHAnsi"/>
              </w:rPr>
              <w:t>How [we/agency name] will deal with voluntary PIDs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_Toc140251739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24</w:t>
            </w:r>
            <w:r w:rsidR="00021BA5" w:rsidRPr="00084B45">
              <w:rPr>
                <w:rFonts w:cstheme="minorHAnsi"/>
                <w:webHidden/>
              </w:rPr>
              <w:fldChar w:fldCharType="end"/>
            </w:r>
          </w:hyperlink>
        </w:p>
        <w:p w14:paraId="156EBE69" w14:textId="64BD3C85" w:rsidR="00021BA5" w:rsidRPr="00084B45" w:rsidRDefault="00000000" w:rsidP="007A1730">
          <w:pPr>
            <w:pStyle w:val="TOC3"/>
            <w:rPr>
              <w:rFonts w:cstheme="minorHAnsi"/>
              <w:kern w:val="2"/>
              <w:lang w:val="en-AU" w:eastAsia="en-AU"/>
              <w14:ligatures w14:val="standardContextual"/>
            </w:rPr>
          </w:pPr>
          <w:hyperlink w:anchor="_Toc140251740" w:history="1">
            <w:r w:rsidR="00021BA5" w:rsidRPr="00084B45">
              <w:rPr>
                <w:rStyle w:val="Hyperlink"/>
                <w:rFonts w:cstheme="minorHAnsi"/>
              </w:rPr>
              <w:t>(c)</w:t>
            </w:r>
            <w:r w:rsidR="00021BA5" w:rsidRPr="00084B45">
              <w:rPr>
                <w:rFonts w:cstheme="minorHAnsi"/>
                <w:kern w:val="2"/>
                <w:lang w:val="en-AU" w:eastAsia="en-AU"/>
                <w14:ligatures w14:val="standardContextual"/>
              </w:rPr>
              <w:tab/>
            </w:r>
            <w:r w:rsidR="00021BA5" w:rsidRPr="00084B45">
              <w:rPr>
                <w:rStyle w:val="Hyperlink"/>
                <w:rFonts w:cstheme="minorHAnsi"/>
              </w:rPr>
              <w:t>How [we/agency name] will protect the confidentiality of the maker of a voluntary PID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_Toc140251740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26</w:t>
            </w:r>
            <w:r w:rsidR="00021BA5" w:rsidRPr="00084B45">
              <w:rPr>
                <w:rFonts w:cstheme="minorHAnsi"/>
                <w:webHidden/>
              </w:rPr>
              <w:fldChar w:fldCharType="end"/>
            </w:r>
          </w:hyperlink>
        </w:p>
        <w:p w14:paraId="548B8F8B" w14:textId="766A331B" w:rsidR="00021BA5" w:rsidRPr="00084B45" w:rsidRDefault="00000000" w:rsidP="007A1730">
          <w:pPr>
            <w:pStyle w:val="TOC3"/>
            <w:rPr>
              <w:rFonts w:cstheme="minorHAnsi"/>
              <w:kern w:val="2"/>
              <w:lang w:val="en-AU" w:eastAsia="en-AU"/>
              <w14:ligatures w14:val="standardContextual"/>
            </w:rPr>
          </w:pPr>
          <w:hyperlink w:anchor="_Toc140251741" w:history="1">
            <w:r w:rsidR="00021BA5" w:rsidRPr="00084B45">
              <w:rPr>
                <w:rStyle w:val="Hyperlink"/>
                <w:rFonts w:cstheme="minorHAnsi"/>
              </w:rPr>
              <w:t>(d)</w:t>
            </w:r>
            <w:r w:rsidR="00021BA5" w:rsidRPr="00084B45">
              <w:rPr>
                <w:rFonts w:cstheme="minorHAnsi"/>
                <w:kern w:val="2"/>
                <w:lang w:val="en-AU" w:eastAsia="en-AU"/>
                <w14:ligatures w14:val="standardContextual"/>
              </w:rPr>
              <w:tab/>
            </w:r>
            <w:r w:rsidR="00021BA5" w:rsidRPr="00084B45">
              <w:rPr>
                <w:rStyle w:val="Hyperlink"/>
                <w:rFonts w:cstheme="minorHAnsi"/>
              </w:rPr>
              <w:t>How [we/agency name] will assess and minimise the risk of detrimental action</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_Toc140251741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28</w:t>
            </w:r>
            <w:r w:rsidR="00021BA5" w:rsidRPr="00084B45">
              <w:rPr>
                <w:rFonts w:cstheme="minorHAnsi"/>
                <w:webHidden/>
              </w:rPr>
              <w:fldChar w:fldCharType="end"/>
            </w:r>
          </w:hyperlink>
        </w:p>
        <w:p w14:paraId="090EB9B1" w14:textId="1E49AF35" w:rsidR="00021BA5" w:rsidRPr="00084B45" w:rsidRDefault="00000000" w:rsidP="007A1730">
          <w:pPr>
            <w:pStyle w:val="TOC3"/>
            <w:rPr>
              <w:rFonts w:cstheme="minorHAnsi"/>
              <w:kern w:val="2"/>
              <w:lang w:val="en-AU" w:eastAsia="en-AU"/>
              <w14:ligatures w14:val="standardContextual"/>
            </w:rPr>
          </w:pPr>
          <w:hyperlink w:anchor="_Toc140251742" w:history="1">
            <w:r w:rsidR="00021BA5" w:rsidRPr="00084B45">
              <w:rPr>
                <w:rStyle w:val="Hyperlink"/>
                <w:rFonts w:cstheme="minorHAnsi"/>
              </w:rPr>
              <w:t>(e)</w:t>
            </w:r>
            <w:r w:rsidR="00021BA5" w:rsidRPr="00084B45">
              <w:rPr>
                <w:rFonts w:cstheme="minorHAnsi"/>
                <w:kern w:val="2"/>
                <w:lang w:val="en-AU" w:eastAsia="en-AU"/>
                <w14:ligatures w14:val="standardContextual"/>
              </w:rPr>
              <w:tab/>
            </w:r>
            <w:r w:rsidR="00021BA5" w:rsidRPr="00084B45">
              <w:rPr>
                <w:rStyle w:val="Hyperlink"/>
                <w:rFonts w:cstheme="minorHAnsi"/>
              </w:rPr>
              <w:t>How [we/agency name] will deal with allegations of a detrimental action offence</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_Toc140251742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29</w:t>
            </w:r>
            <w:r w:rsidR="00021BA5" w:rsidRPr="00084B45">
              <w:rPr>
                <w:rFonts w:cstheme="minorHAnsi"/>
                <w:webHidden/>
              </w:rPr>
              <w:fldChar w:fldCharType="end"/>
            </w:r>
          </w:hyperlink>
        </w:p>
        <w:p w14:paraId="14F667E3" w14:textId="15140EBC" w:rsidR="00021BA5" w:rsidRPr="00084B45" w:rsidRDefault="00000000" w:rsidP="007A1730">
          <w:pPr>
            <w:pStyle w:val="TOC3"/>
            <w:rPr>
              <w:rFonts w:cstheme="minorHAnsi"/>
              <w:kern w:val="2"/>
              <w:lang w:val="en-AU" w:eastAsia="en-AU"/>
              <w14:ligatures w14:val="standardContextual"/>
            </w:rPr>
          </w:pPr>
          <w:hyperlink w:anchor="_Toc140251743" w:history="1">
            <w:r w:rsidR="00021BA5" w:rsidRPr="00084B45">
              <w:rPr>
                <w:rStyle w:val="Hyperlink"/>
                <w:rFonts w:cstheme="minorHAnsi"/>
              </w:rPr>
              <w:t>(f)</w:t>
            </w:r>
            <w:r w:rsidR="00021BA5" w:rsidRPr="00084B45">
              <w:rPr>
                <w:rFonts w:cstheme="minorHAnsi"/>
                <w:kern w:val="2"/>
                <w:lang w:val="en-AU" w:eastAsia="en-AU"/>
                <w14:ligatures w14:val="standardContextual"/>
              </w:rPr>
              <w:tab/>
            </w:r>
            <w:r w:rsidR="00021BA5" w:rsidRPr="00084B45">
              <w:rPr>
                <w:rStyle w:val="Hyperlink"/>
                <w:rFonts w:cstheme="minorHAnsi"/>
              </w:rPr>
              <w:t xml:space="preserve">What [agency name] will do if an investigation finds that serious wrongdoing </w:t>
            </w:r>
            <w:r w:rsidR="007A1730" w:rsidRPr="00084B45">
              <w:rPr>
                <w:rStyle w:val="Hyperlink"/>
                <w:rFonts w:cstheme="minorHAnsi"/>
              </w:rPr>
              <w:br/>
            </w:r>
            <w:r w:rsidR="00021BA5" w:rsidRPr="00084B45">
              <w:rPr>
                <w:rStyle w:val="Hyperlink"/>
                <w:rFonts w:cstheme="minorHAnsi"/>
              </w:rPr>
              <w:t>has occurred</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_Toc140251743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29</w:t>
            </w:r>
            <w:r w:rsidR="00021BA5" w:rsidRPr="00084B45">
              <w:rPr>
                <w:rFonts w:cstheme="minorHAnsi"/>
                <w:webHidden/>
              </w:rPr>
              <w:fldChar w:fldCharType="end"/>
            </w:r>
          </w:hyperlink>
        </w:p>
        <w:p w14:paraId="4BFC25DD" w14:textId="6E25ADFA" w:rsidR="00021BA5" w:rsidRPr="00084B45" w:rsidRDefault="00000000" w:rsidP="000A1083">
          <w:pPr>
            <w:pStyle w:val="TOC2"/>
            <w:rPr>
              <w:rFonts w:eastAsiaTheme="minorEastAsia"/>
              <w:kern w:val="2"/>
              <w:lang w:eastAsia="en-AU"/>
              <w14:ligatures w14:val="standardContextual"/>
            </w:rPr>
          </w:pPr>
          <w:hyperlink w:anchor="_Toc140251744" w:history="1">
            <w:r w:rsidR="00021BA5" w:rsidRPr="00084B45">
              <w:rPr>
                <w:rStyle w:val="Hyperlink"/>
              </w:rPr>
              <w:t>7.</w:t>
            </w:r>
            <w:r w:rsidR="00021BA5" w:rsidRPr="00084B45">
              <w:rPr>
                <w:rFonts w:eastAsiaTheme="minorEastAsia"/>
                <w:kern w:val="2"/>
                <w:lang w:eastAsia="en-AU"/>
                <w14:ligatures w14:val="standardContextual"/>
              </w:rPr>
              <w:tab/>
            </w:r>
            <w:r w:rsidR="00021BA5" w:rsidRPr="00084B45">
              <w:rPr>
                <w:rStyle w:val="Hyperlink"/>
              </w:rPr>
              <w:t>Review and dispute resolution</w:t>
            </w:r>
            <w:r w:rsidR="00021BA5" w:rsidRPr="00084B45">
              <w:rPr>
                <w:webHidden/>
              </w:rPr>
              <w:tab/>
            </w:r>
            <w:r w:rsidR="00021BA5" w:rsidRPr="00084B45">
              <w:rPr>
                <w:webHidden/>
              </w:rPr>
              <w:fldChar w:fldCharType="begin"/>
            </w:r>
            <w:r w:rsidR="00021BA5" w:rsidRPr="00084B45">
              <w:rPr>
                <w:webHidden/>
              </w:rPr>
              <w:instrText xml:space="preserve"> PAGEREF _Toc140251744 \h </w:instrText>
            </w:r>
            <w:r w:rsidR="00021BA5" w:rsidRPr="00084B45">
              <w:rPr>
                <w:webHidden/>
              </w:rPr>
            </w:r>
            <w:r w:rsidR="00021BA5" w:rsidRPr="00084B45">
              <w:rPr>
                <w:webHidden/>
              </w:rPr>
              <w:fldChar w:fldCharType="separate"/>
            </w:r>
            <w:r w:rsidR="009C6B50">
              <w:rPr>
                <w:webHidden/>
              </w:rPr>
              <w:t>30</w:t>
            </w:r>
            <w:r w:rsidR="00021BA5" w:rsidRPr="00084B45">
              <w:rPr>
                <w:webHidden/>
              </w:rPr>
              <w:fldChar w:fldCharType="end"/>
            </w:r>
          </w:hyperlink>
        </w:p>
        <w:p w14:paraId="2345642E" w14:textId="05AC2185" w:rsidR="00021BA5" w:rsidRPr="00084B45" w:rsidRDefault="00000000" w:rsidP="007A1730">
          <w:pPr>
            <w:pStyle w:val="TOC3"/>
            <w:rPr>
              <w:rFonts w:cstheme="minorHAnsi"/>
              <w:kern w:val="2"/>
              <w:lang w:val="en-AU" w:eastAsia="en-AU"/>
              <w14:ligatures w14:val="standardContextual"/>
            </w:rPr>
          </w:pPr>
          <w:hyperlink w:anchor="_Toc140251745" w:history="1">
            <w:r w:rsidR="00021BA5" w:rsidRPr="00084B45">
              <w:rPr>
                <w:rStyle w:val="Hyperlink"/>
                <w:rFonts w:cstheme="minorHAnsi"/>
              </w:rPr>
              <w:t>(a)</w:t>
            </w:r>
            <w:r w:rsidR="00021BA5" w:rsidRPr="00084B45">
              <w:rPr>
                <w:rFonts w:cstheme="minorHAnsi"/>
                <w:kern w:val="2"/>
                <w:lang w:val="en-AU" w:eastAsia="en-AU"/>
                <w14:ligatures w14:val="standardContextual"/>
              </w:rPr>
              <w:tab/>
            </w:r>
            <w:r w:rsidR="00021BA5" w:rsidRPr="00084B45">
              <w:rPr>
                <w:rStyle w:val="Hyperlink"/>
                <w:rFonts w:cstheme="minorHAnsi"/>
              </w:rPr>
              <w:t>Internal review</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_Toc140251745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30</w:t>
            </w:r>
            <w:r w:rsidR="00021BA5" w:rsidRPr="00084B45">
              <w:rPr>
                <w:rFonts w:cstheme="minorHAnsi"/>
                <w:webHidden/>
              </w:rPr>
              <w:fldChar w:fldCharType="end"/>
            </w:r>
          </w:hyperlink>
        </w:p>
        <w:p w14:paraId="38210AD5" w14:textId="1FA71BBE" w:rsidR="00021BA5" w:rsidRPr="00084B45" w:rsidRDefault="00000000" w:rsidP="007A1730">
          <w:pPr>
            <w:pStyle w:val="TOC3"/>
            <w:rPr>
              <w:rFonts w:cstheme="minorHAnsi"/>
              <w:kern w:val="2"/>
              <w:lang w:val="en-AU" w:eastAsia="en-AU"/>
              <w14:ligatures w14:val="standardContextual"/>
            </w:rPr>
          </w:pPr>
          <w:hyperlink w:anchor="_Toc140251746" w:history="1">
            <w:r w:rsidR="00021BA5" w:rsidRPr="00084B45">
              <w:rPr>
                <w:rStyle w:val="Hyperlink"/>
                <w:rFonts w:cstheme="minorHAnsi"/>
              </w:rPr>
              <w:t>(b)</w:t>
            </w:r>
            <w:r w:rsidR="00021BA5" w:rsidRPr="00084B45">
              <w:rPr>
                <w:rFonts w:cstheme="minorHAnsi"/>
                <w:kern w:val="2"/>
                <w:lang w:val="en-AU" w:eastAsia="en-AU"/>
                <w14:ligatures w14:val="standardContextual"/>
              </w:rPr>
              <w:tab/>
            </w:r>
            <w:r w:rsidR="00021BA5" w:rsidRPr="00084B45">
              <w:rPr>
                <w:rStyle w:val="Hyperlink"/>
                <w:rFonts w:cstheme="minorHAnsi"/>
              </w:rPr>
              <w:t>Voluntary dispute resolution</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_Toc140251746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30</w:t>
            </w:r>
            <w:r w:rsidR="00021BA5" w:rsidRPr="00084B45">
              <w:rPr>
                <w:rFonts w:cstheme="minorHAnsi"/>
                <w:webHidden/>
              </w:rPr>
              <w:fldChar w:fldCharType="end"/>
            </w:r>
          </w:hyperlink>
        </w:p>
        <w:p w14:paraId="66A96A37" w14:textId="3096C4C0" w:rsidR="00021BA5" w:rsidRPr="00084B45" w:rsidRDefault="00000000" w:rsidP="000A1083">
          <w:pPr>
            <w:pStyle w:val="TOC2"/>
            <w:rPr>
              <w:rFonts w:eastAsiaTheme="minorEastAsia"/>
              <w:kern w:val="2"/>
              <w:lang w:eastAsia="en-AU"/>
              <w14:ligatures w14:val="standardContextual"/>
            </w:rPr>
          </w:pPr>
          <w:hyperlink w:anchor="_Toc140251747" w:history="1">
            <w:r w:rsidR="00021BA5" w:rsidRPr="00084B45">
              <w:rPr>
                <w:rStyle w:val="Hyperlink"/>
              </w:rPr>
              <w:t>8.</w:t>
            </w:r>
            <w:r w:rsidR="00021BA5" w:rsidRPr="00084B45">
              <w:rPr>
                <w:rFonts w:eastAsiaTheme="minorEastAsia"/>
                <w:kern w:val="2"/>
                <w:lang w:eastAsia="en-AU"/>
                <w14:ligatures w14:val="standardContextual"/>
              </w:rPr>
              <w:tab/>
            </w:r>
            <w:r w:rsidR="00021BA5" w:rsidRPr="00084B45">
              <w:rPr>
                <w:rStyle w:val="Hyperlink"/>
              </w:rPr>
              <w:t>Other agency obligations</w:t>
            </w:r>
            <w:r w:rsidR="00021BA5" w:rsidRPr="00084B45">
              <w:rPr>
                <w:webHidden/>
              </w:rPr>
              <w:tab/>
            </w:r>
            <w:r w:rsidR="00021BA5" w:rsidRPr="00084B45">
              <w:rPr>
                <w:webHidden/>
              </w:rPr>
              <w:fldChar w:fldCharType="begin"/>
            </w:r>
            <w:r w:rsidR="00021BA5" w:rsidRPr="00084B45">
              <w:rPr>
                <w:webHidden/>
              </w:rPr>
              <w:instrText xml:space="preserve"> PAGEREF _Toc140251747 \h </w:instrText>
            </w:r>
            <w:r w:rsidR="00021BA5" w:rsidRPr="00084B45">
              <w:rPr>
                <w:webHidden/>
              </w:rPr>
            </w:r>
            <w:r w:rsidR="00021BA5" w:rsidRPr="00084B45">
              <w:rPr>
                <w:webHidden/>
              </w:rPr>
              <w:fldChar w:fldCharType="separate"/>
            </w:r>
            <w:r w:rsidR="009C6B50">
              <w:rPr>
                <w:webHidden/>
              </w:rPr>
              <w:t>31</w:t>
            </w:r>
            <w:r w:rsidR="00021BA5" w:rsidRPr="00084B45">
              <w:rPr>
                <w:webHidden/>
              </w:rPr>
              <w:fldChar w:fldCharType="end"/>
            </w:r>
          </w:hyperlink>
        </w:p>
        <w:p w14:paraId="0C5C9BD9" w14:textId="3A500BD6" w:rsidR="00021BA5" w:rsidRPr="00084B45" w:rsidRDefault="00000000" w:rsidP="007A1730">
          <w:pPr>
            <w:pStyle w:val="TOC3"/>
            <w:rPr>
              <w:rFonts w:cstheme="minorHAnsi"/>
              <w:kern w:val="2"/>
              <w:lang w:val="en-AU" w:eastAsia="en-AU"/>
              <w14:ligatures w14:val="standardContextual"/>
            </w:rPr>
          </w:pPr>
          <w:hyperlink w:anchor="_Toc140251748" w:history="1">
            <w:r w:rsidR="00021BA5" w:rsidRPr="00084B45">
              <w:rPr>
                <w:rStyle w:val="Hyperlink"/>
                <w:rFonts w:cstheme="minorHAnsi"/>
              </w:rPr>
              <w:t>(a)</w:t>
            </w:r>
            <w:r w:rsidR="00021BA5" w:rsidRPr="00084B45">
              <w:rPr>
                <w:rFonts w:cstheme="minorHAnsi"/>
                <w:kern w:val="2"/>
                <w:lang w:val="en-AU" w:eastAsia="en-AU"/>
                <w14:ligatures w14:val="standardContextual"/>
              </w:rPr>
              <w:tab/>
            </w:r>
            <w:r w:rsidR="00021BA5" w:rsidRPr="00084B45">
              <w:rPr>
                <w:rStyle w:val="Hyperlink"/>
                <w:rFonts w:cstheme="minorHAnsi"/>
              </w:rPr>
              <w:t>Record-keeping requirements</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_Toc140251748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31</w:t>
            </w:r>
            <w:r w:rsidR="00021BA5" w:rsidRPr="00084B45">
              <w:rPr>
                <w:rFonts w:cstheme="minorHAnsi"/>
                <w:webHidden/>
              </w:rPr>
              <w:fldChar w:fldCharType="end"/>
            </w:r>
          </w:hyperlink>
        </w:p>
        <w:p w14:paraId="57D37B78" w14:textId="66311268" w:rsidR="00021BA5" w:rsidRPr="00084B45" w:rsidRDefault="00000000" w:rsidP="007A1730">
          <w:pPr>
            <w:pStyle w:val="TOC3"/>
            <w:rPr>
              <w:rFonts w:cstheme="minorHAnsi"/>
              <w:kern w:val="2"/>
              <w:lang w:val="en-AU" w:eastAsia="en-AU"/>
              <w14:ligatures w14:val="standardContextual"/>
            </w:rPr>
          </w:pPr>
          <w:hyperlink w:anchor="_Toc140251749" w:history="1">
            <w:r w:rsidR="00021BA5" w:rsidRPr="00084B45">
              <w:rPr>
                <w:rStyle w:val="Hyperlink"/>
                <w:rFonts w:cstheme="minorHAnsi"/>
              </w:rPr>
              <w:t>(b)</w:t>
            </w:r>
            <w:r w:rsidR="00021BA5" w:rsidRPr="00084B45">
              <w:rPr>
                <w:rFonts w:cstheme="minorHAnsi"/>
                <w:kern w:val="2"/>
                <w:lang w:val="en-AU" w:eastAsia="en-AU"/>
                <w14:ligatures w14:val="standardContextual"/>
              </w:rPr>
              <w:tab/>
            </w:r>
            <w:r w:rsidR="00021BA5" w:rsidRPr="00084B45">
              <w:rPr>
                <w:rStyle w:val="Hyperlink"/>
                <w:rFonts w:cstheme="minorHAnsi"/>
              </w:rPr>
              <w:t>Reporting of voluntary PIDs and [agency name] annual return to the Ombudsman</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_Toc140251749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31</w:t>
            </w:r>
            <w:r w:rsidR="00021BA5" w:rsidRPr="00084B45">
              <w:rPr>
                <w:rFonts w:cstheme="minorHAnsi"/>
                <w:webHidden/>
              </w:rPr>
              <w:fldChar w:fldCharType="end"/>
            </w:r>
          </w:hyperlink>
        </w:p>
        <w:p w14:paraId="673487CD" w14:textId="2BC4C603" w:rsidR="00021BA5" w:rsidRPr="00084B45" w:rsidRDefault="00000000" w:rsidP="007A1730">
          <w:pPr>
            <w:pStyle w:val="TOC3"/>
            <w:rPr>
              <w:rFonts w:cstheme="minorHAnsi"/>
              <w:kern w:val="2"/>
              <w:lang w:val="en-AU" w:eastAsia="en-AU"/>
              <w14:ligatures w14:val="standardContextual"/>
            </w:rPr>
          </w:pPr>
          <w:hyperlink w:anchor="_Toc140251750" w:history="1">
            <w:r w:rsidR="00021BA5" w:rsidRPr="00084B45">
              <w:rPr>
                <w:rStyle w:val="Hyperlink"/>
                <w:rFonts w:cstheme="minorHAnsi"/>
              </w:rPr>
              <w:t>(c)</w:t>
            </w:r>
            <w:r w:rsidR="00021BA5" w:rsidRPr="00084B45">
              <w:rPr>
                <w:rFonts w:cstheme="minorHAnsi"/>
                <w:kern w:val="2"/>
                <w:lang w:val="en-AU" w:eastAsia="en-AU"/>
                <w14:ligatures w14:val="standardContextual"/>
              </w:rPr>
              <w:tab/>
            </w:r>
            <w:r w:rsidR="00021BA5" w:rsidRPr="00084B45">
              <w:rPr>
                <w:rStyle w:val="Hyperlink"/>
                <w:rFonts w:cstheme="minorHAnsi"/>
              </w:rPr>
              <w:t>How [we/agency name] will ensure compliance with the PID Act and this policy</w:t>
            </w:r>
            <w:r w:rsidR="00021BA5" w:rsidRPr="00084B45">
              <w:rPr>
                <w:rFonts w:cstheme="minorHAnsi"/>
                <w:webHidden/>
              </w:rPr>
              <w:tab/>
            </w:r>
            <w:r w:rsidR="00021BA5" w:rsidRPr="00084B45">
              <w:rPr>
                <w:rFonts w:cstheme="minorHAnsi"/>
                <w:webHidden/>
              </w:rPr>
              <w:fldChar w:fldCharType="begin"/>
            </w:r>
            <w:r w:rsidR="00021BA5" w:rsidRPr="00084B45">
              <w:rPr>
                <w:rFonts w:cstheme="minorHAnsi"/>
                <w:webHidden/>
              </w:rPr>
              <w:instrText xml:space="preserve"> PAGEREF _Toc140251750 \h </w:instrText>
            </w:r>
            <w:r w:rsidR="00021BA5" w:rsidRPr="00084B45">
              <w:rPr>
                <w:rFonts w:cstheme="minorHAnsi"/>
                <w:webHidden/>
              </w:rPr>
            </w:r>
            <w:r w:rsidR="00021BA5" w:rsidRPr="00084B45">
              <w:rPr>
                <w:rFonts w:cstheme="minorHAnsi"/>
                <w:webHidden/>
              </w:rPr>
              <w:fldChar w:fldCharType="separate"/>
            </w:r>
            <w:r w:rsidR="009C6B50">
              <w:rPr>
                <w:rFonts w:cstheme="minorHAnsi"/>
                <w:webHidden/>
              </w:rPr>
              <w:t>31</w:t>
            </w:r>
            <w:r w:rsidR="00021BA5" w:rsidRPr="00084B45">
              <w:rPr>
                <w:rFonts w:cstheme="minorHAnsi"/>
                <w:webHidden/>
              </w:rPr>
              <w:fldChar w:fldCharType="end"/>
            </w:r>
          </w:hyperlink>
        </w:p>
        <w:p w14:paraId="654AC22D" w14:textId="6F499A4D" w:rsidR="00021BA5" w:rsidRPr="00084B45" w:rsidRDefault="00000000" w:rsidP="000A1083">
          <w:pPr>
            <w:pStyle w:val="TOC2"/>
            <w:rPr>
              <w:rFonts w:eastAsiaTheme="minorEastAsia"/>
              <w:kern w:val="2"/>
              <w:lang w:eastAsia="en-AU"/>
              <w14:ligatures w14:val="standardContextual"/>
            </w:rPr>
          </w:pPr>
          <w:hyperlink w:anchor="_Toc140251751" w:history="1">
            <w:r w:rsidR="00021BA5" w:rsidRPr="00084B45">
              <w:rPr>
                <w:rStyle w:val="Hyperlink"/>
              </w:rPr>
              <w:t>Annexure A — Names and contact details of disclosure officers for [agency name]</w:t>
            </w:r>
            <w:r w:rsidR="00021BA5" w:rsidRPr="00084B45">
              <w:rPr>
                <w:webHidden/>
              </w:rPr>
              <w:tab/>
            </w:r>
            <w:r w:rsidR="00021BA5" w:rsidRPr="00084B45">
              <w:rPr>
                <w:webHidden/>
              </w:rPr>
              <w:fldChar w:fldCharType="begin"/>
            </w:r>
            <w:r w:rsidR="00021BA5" w:rsidRPr="00084B45">
              <w:rPr>
                <w:webHidden/>
              </w:rPr>
              <w:instrText xml:space="preserve"> PAGEREF _Toc140251751 \h </w:instrText>
            </w:r>
            <w:r w:rsidR="00021BA5" w:rsidRPr="00084B45">
              <w:rPr>
                <w:webHidden/>
              </w:rPr>
            </w:r>
            <w:r w:rsidR="00021BA5" w:rsidRPr="00084B45">
              <w:rPr>
                <w:webHidden/>
              </w:rPr>
              <w:fldChar w:fldCharType="separate"/>
            </w:r>
            <w:r w:rsidR="009C6B50">
              <w:rPr>
                <w:webHidden/>
              </w:rPr>
              <w:t>32</w:t>
            </w:r>
            <w:r w:rsidR="00021BA5" w:rsidRPr="00084B45">
              <w:rPr>
                <w:webHidden/>
              </w:rPr>
              <w:fldChar w:fldCharType="end"/>
            </w:r>
          </w:hyperlink>
        </w:p>
        <w:p w14:paraId="0008181C" w14:textId="3F1516BB" w:rsidR="00021BA5" w:rsidRPr="00084B45" w:rsidRDefault="00000000" w:rsidP="000A1083">
          <w:pPr>
            <w:pStyle w:val="TOC2"/>
            <w:rPr>
              <w:rFonts w:eastAsiaTheme="minorEastAsia"/>
              <w:kern w:val="2"/>
              <w:lang w:eastAsia="en-AU"/>
              <w14:ligatures w14:val="standardContextual"/>
            </w:rPr>
          </w:pPr>
          <w:hyperlink w:anchor="_Toc140251752" w:history="1">
            <w:r w:rsidR="00021BA5" w:rsidRPr="00084B45">
              <w:rPr>
                <w:rStyle w:val="Hyperlink"/>
              </w:rPr>
              <w:t>Annexure B — List of integrity agencies</w:t>
            </w:r>
            <w:r w:rsidR="00021BA5" w:rsidRPr="00084B45">
              <w:rPr>
                <w:webHidden/>
              </w:rPr>
              <w:tab/>
            </w:r>
            <w:r w:rsidR="00021BA5" w:rsidRPr="00084B45">
              <w:rPr>
                <w:webHidden/>
              </w:rPr>
              <w:fldChar w:fldCharType="begin"/>
            </w:r>
            <w:r w:rsidR="00021BA5" w:rsidRPr="00084B45">
              <w:rPr>
                <w:webHidden/>
              </w:rPr>
              <w:instrText xml:space="preserve"> PAGEREF _Toc140251752 \h </w:instrText>
            </w:r>
            <w:r w:rsidR="00021BA5" w:rsidRPr="00084B45">
              <w:rPr>
                <w:webHidden/>
              </w:rPr>
            </w:r>
            <w:r w:rsidR="00021BA5" w:rsidRPr="00084B45">
              <w:rPr>
                <w:webHidden/>
              </w:rPr>
              <w:fldChar w:fldCharType="separate"/>
            </w:r>
            <w:r w:rsidR="009C6B50">
              <w:rPr>
                <w:webHidden/>
              </w:rPr>
              <w:t>33</w:t>
            </w:r>
            <w:r w:rsidR="00021BA5" w:rsidRPr="00084B45">
              <w:rPr>
                <w:webHidden/>
              </w:rPr>
              <w:fldChar w:fldCharType="end"/>
            </w:r>
          </w:hyperlink>
        </w:p>
        <w:p w14:paraId="051C2D17" w14:textId="72F744AD" w:rsidR="003535AD" w:rsidRPr="003535AD" w:rsidRDefault="004C2019" w:rsidP="00833509">
          <w:pPr>
            <w:keepNext/>
            <w:keepLines/>
            <w:spacing w:after="120"/>
            <w:rPr>
              <w:rFonts w:ascii="Arial" w:hAnsi="Arial" w:cs="Arial"/>
            </w:rPr>
          </w:pPr>
          <w:r w:rsidRPr="00084B45">
            <w:rPr>
              <w:rFonts w:asciiTheme="minorHAnsi" w:hAnsiTheme="minorHAnsi" w:cstheme="minorHAnsi"/>
              <w:noProof/>
            </w:rPr>
            <w:fldChar w:fldCharType="end"/>
          </w:r>
        </w:p>
      </w:sdtContent>
    </w:sdt>
    <w:p w14:paraId="4AB4DF54" w14:textId="77777777" w:rsidR="00392CDF" w:rsidRDefault="00392CDF">
      <w:pPr>
        <w:rPr>
          <w:rFonts w:ascii="Arial" w:eastAsiaTheme="majorEastAsia" w:hAnsi="Arial" w:cs="Arial"/>
          <w:b/>
          <w:bCs/>
          <w:sz w:val="26"/>
          <w:szCs w:val="26"/>
        </w:rPr>
      </w:pPr>
      <w:r>
        <w:rPr>
          <w:rFonts w:ascii="Arial" w:hAnsi="Arial" w:cs="Arial"/>
          <w:b/>
          <w:bCs/>
          <w:sz w:val="26"/>
          <w:szCs w:val="26"/>
        </w:rPr>
        <w:br w:type="page"/>
      </w:r>
    </w:p>
    <w:p w14:paraId="4C75DA74" w14:textId="378D81AF" w:rsidR="00946691" w:rsidRDefault="002A008E" w:rsidP="0093701F">
      <w:pPr>
        <w:pStyle w:val="Heading2"/>
        <w:numPr>
          <w:ilvl w:val="0"/>
          <w:numId w:val="0"/>
        </w:numPr>
      </w:pPr>
      <w:bookmarkStart w:id="20" w:name="_Toc140251709"/>
      <w:r>
        <w:lastRenderedPageBreak/>
        <w:t>Purpose</w:t>
      </w:r>
      <w:bookmarkEnd w:id="20"/>
    </w:p>
    <w:p w14:paraId="5FE922AD" w14:textId="59FC47C1" w:rsidR="001E3A6B" w:rsidRPr="00833509" w:rsidRDefault="0022114F" w:rsidP="00FA2AB1">
      <w:pPr>
        <w:pStyle w:val="BodyText"/>
      </w:pPr>
      <w:r w:rsidRPr="00833509">
        <w:t>All a</w:t>
      </w:r>
      <w:r w:rsidR="009B7C17" w:rsidRPr="00833509">
        <w:t>gencies in NSW are required to have a Public Interest Disclosu</w:t>
      </w:r>
      <w:r w:rsidR="00827C20" w:rsidRPr="00833509">
        <w:t>re (</w:t>
      </w:r>
      <w:r w:rsidR="00827C20" w:rsidRPr="00833509">
        <w:rPr>
          <w:b/>
          <w:bCs/>
        </w:rPr>
        <w:t>PID</w:t>
      </w:r>
      <w:r w:rsidR="00827C20" w:rsidRPr="00833509">
        <w:t>) Policy</w:t>
      </w:r>
      <w:r w:rsidR="00BF6D2C" w:rsidRPr="00833509">
        <w:t xml:space="preserve"> under</w:t>
      </w:r>
      <w:r w:rsidR="009561DB" w:rsidRPr="00833509">
        <w:t xml:space="preserve"> s</w:t>
      </w:r>
      <w:r w:rsidR="00337EF3">
        <w:t>ection</w:t>
      </w:r>
      <w:r w:rsidR="009561DB" w:rsidRPr="00833509">
        <w:t xml:space="preserve"> 42 of the </w:t>
      </w:r>
      <w:r w:rsidR="009561DB" w:rsidRPr="00833509">
        <w:rPr>
          <w:i/>
          <w:iCs/>
        </w:rPr>
        <w:t>Public Interest Disclosures Act 2022</w:t>
      </w:r>
      <w:r w:rsidR="009561DB" w:rsidRPr="00833509">
        <w:t xml:space="preserve"> (</w:t>
      </w:r>
      <w:r w:rsidR="009561DB" w:rsidRPr="00833509">
        <w:rPr>
          <w:b/>
          <w:bCs/>
        </w:rPr>
        <w:t>PID Act</w:t>
      </w:r>
      <w:r w:rsidR="009561DB" w:rsidRPr="00833509">
        <w:t>).</w:t>
      </w:r>
    </w:p>
    <w:p w14:paraId="16EF94DC" w14:textId="3E59ACC0" w:rsidR="0089003C" w:rsidRPr="00833509" w:rsidRDefault="001E3A6B" w:rsidP="00FA2AB1">
      <w:pPr>
        <w:pStyle w:val="BodyText"/>
      </w:pPr>
      <w:r w:rsidRPr="00833509">
        <w:t xml:space="preserve">At [agency name] we </w:t>
      </w:r>
      <w:r w:rsidR="00773D57" w:rsidRPr="00833509">
        <w:t xml:space="preserve">take reports of serious wrongdoing seriously. We are committed to </w:t>
      </w:r>
      <w:r w:rsidR="003A2C1C" w:rsidRPr="00833509">
        <w:t xml:space="preserve">building a </w:t>
      </w:r>
      <w:r w:rsidR="000C736B">
        <w:t>‘</w:t>
      </w:r>
      <w:r w:rsidR="006948CC" w:rsidRPr="00833509">
        <w:t>speak up</w:t>
      </w:r>
      <w:r w:rsidR="000C736B">
        <w:t>’</w:t>
      </w:r>
      <w:r w:rsidR="006948CC" w:rsidRPr="00833509">
        <w:t xml:space="preserve"> </w:t>
      </w:r>
      <w:r w:rsidR="003A2C1C" w:rsidRPr="00833509">
        <w:t xml:space="preserve">culture where </w:t>
      </w:r>
      <w:r w:rsidR="006948CC" w:rsidRPr="00833509">
        <w:t xml:space="preserve">public officials are encouraged to report any conduct </w:t>
      </w:r>
      <w:r w:rsidR="000C736B">
        <w:t xml:space="preserve">that </w:t>
      </w:r>
      <w:r w:rsidR="006948CC" w:rsidRPr="00833509">
        <w:t>they reasonably believe involves wrongdoing.</w:t>
      </w:r>
    </w:p>
    <w:p w14:paraId="255EAB51" w14:textId="11452256" w:rsidR="00CF0714" w:rsidRPr="00833509" w:rsidRDefault="00593E0A" w:rsidP="00FA2AB1">
      <w:pPr>
        <w:pStyle w:val="BodyText"/>
      </w:pPr>
      <w:r w:rsidRPr="00833509">
        <w:t xml:space="preserve">The integrity of our agency relies upon </w:t>
      </w:r>
      <w:r w:rsidR="0089003C" w:rsidRPr="00833509">
        <w:t xml:space="preserve">our staff, volunteers, contractors and subcontractors </w:t>
      </w:r>
      <w:r w:rsidR="00D66135" w:rsidRPr="00833509">
        <w:t>speaking up when they become aware of wrongdoing.</w:t>
      </w:r>
    </w:p>
    <w:p w14:paraId="749F7EB6" w14:textId="77777777" w:rsidR="000C736B" w:rsidRDefault="00CF0714" w:rsidP="00FA2AB1">
      <w:pPr>
        <w:pStyle w:val="BodyText"/>
      </w:pPr>
      <w:r w:rsidRPr="00833509">
        <w:t>This policy sets out</w:t>
      </w:r>
      <w:r w:rsidR="000C736B">
        <w:t>:</w:t>
      </w:r>
    </w:p>
    <w:p w14:paraId="0626E628" w14:textId="1BF39D3C" w:rsidR="000C736B" w:rsidRPr="00FA2AB1" w:rsidRDefault="00CF0714" w:rsidP="005E54EC">
      <w:pPr>
        <w:pStyle w:val="ListParagraph"/>
      </w:pPr>
      <w:r w:rsidRPr="00FA2AB1">
        <w:t>how [</w:t>
      </w:r>
      <w:r w:rsidR="000955D8" w:rsidRPr="00FA2AB1">
        <w:t>a</w:t>
      </w:r>
      <w:r w:rsidRPr="00FA2AB1">
        <w:t>gency name/we]</w:t>
      </w:r>
      <w:r w:rsidR="00DA37FA" w:rsidRPr="00FA2AB1">
        <w:t xml:space="preserve"> </w:t>
      </w:r>
      <w:r w:rsidR="000975B0" w:rsidRPr="00FA2AB1">
        <w:t xml:space="preserve">will support </w:t>
      </w:r>
      <w:r w:rsidR="00082216" w:rsidRPr="00FA2AB1">
        <w:t xml:space="preserve">and protect </w:t>
      </w:r>
      <w:r w:rsidR="000975B0" w:rsidRPr="00FA2AB1">
        <w:t xml:space="preserve">you if you come forward with a </w:t>
      </w:r>
      <w:r w:rsidR="002E7791" w:rsidRPr="00FA2AB1">
        <w:t>report</w:t>
      </w:r>
      <w:r w:rsidR="000975B0" w:rsidRPr="00FA2AB1">
        <w:t xml:space="preserve"> of serious wrongdoing</w:t>
      </w:r>
    </w:p>
    <w:p w14:paraId="199BBEEA" w14:textId="6BE3C0B7" w:rsidR="000C736B" w:rsidRPr="00FA2AB1" w:rsidRDefault="000975B0" w:rsidP="005E54EC">
      <w:pPr>
        <w:pStyle w:val="ListParagraph"/>
      </w:pPr>
      <w:r w:rsidRPr="00FA2AB1">
        <w:t xml:space="preserve">how we will deal with the </w:t>
      </w:r>
      <w:r w:rsidR="00067B68" w:rsidRPr="00FA2AB1">
        <w:t>report</w:t>
      </w:r>
      <w:r w:rsidR="00C6565A" w:rsidRPr="00FA2AB1">
        <w:t xml:space="preserve"> and our other responsibilities under the PID Act</w:t>
      </w:r>
    </w:p>
    <w:p w14:paraId="78BDE690" w14:textId="1B6515FB" w:rsidR="000C736B" w:rsidRPr="00FA2AB1" w:rsidRDefault="00AB0980" w:rsidP="005E54EC">
      <w:pPr>
        <w:pStyle w:val="ListParagraph"/>
      </w:pPr>
      <w:r w:rsidRPr="00FA2AB1">
        <w:t xml:space="preserve">who to contact if you want to make a </w:t>
      </w:r>
      <w:r w:rsidR="00067B68" w:rsidRPr="00FA2AB1">
        <w:t>report</w:t>
      </w:r>
    </w:p>
    <w:p w14:paraId="7E9DF0F0" w14:textId="10090E6F" w:rsidR="000C736B" w:rsidRPr="00FA2AB1" w:rsidRDefault="00F8504D" w:rsidP="005E54EC">
      <w:pPr>
        <w:pStyle w:val="ListParagraph"/>
      </w:pPr>
      <w:r w:rsidRPr="00FA2AB1">
        <w:t xml:space="preserve">how to make a </w:t>
      </w:r>
      <w:r w:rsidR="00067B68" w:rsidRPr="00FA2AB1">
        <w:t>report</w:t>
      </w:r>
    </w:p>
    <w:p w14:paraId="65F2B8FA" w14:textId="2CB1B96B" w:rsidR="00F8504D" w:rsidRPr="00FA2AB1" w:rsidRDefault="00F8504D" w:rsidP="005E54EC">
      <w:pPr>
        <w:pStyle w:val="ListParagraph"/>
      </w:pPr>
      <w:r w:rsidRPr="00FA2AB1">
        <w:t xml:space="preserve">the protections which are available to you under the PID Act. </w:t>
      </w:r>
    </w:p>
    <w:p w14:paraId="050BDF52" w14:textId="4E9B6FC5" w:rsidR="004C01EA" w:rsidRPr="0049780B" w:rsidRDefault="00F8504D" w:rsidP="00FA2AB1">
      <w:pPr>
        <w:pStyle w:val="BodyText"/>
      </w:pPr>
      <w:r w:rsidRPr="00833509">
        <w:t xml:space="preserve">This policy also </w:t>
      </w:r>
      <w:r w:rsidR="00A55134" w:rsidRPr="00833509">
        <w:t xml:space="preserve">documents </w:t>
      </w:r>
      <w:r w:rsidR="00063847" w:rsidRPr="00833509">
        <w:t>our commitment to building a speak</w:t>
      </w:r>
      <w:r w:rsidR="005046F3">
        <w:t xml:space="preserve"> </w:t>
      </w:r>
      <w:r w:rsidR="00063847" w:rsidRPr="00833509">
        <w:t>up culture</w:t>
      </w:r>
      <w:r w:rsidR="004C01EA" w:rsidRPr="00833509">
        <w:t xml:space="preserve">. </w:t>
      </w:r>
      <w:r w:rsidR="004C01EA" w:rsidRPr="00EF53A3">
        <w:t>Part of that speak up culture is having in place a framework that facilitates public interest reporting of wrongdoing by:</w:t>
      </w:r>
    </w:p>
    <w:p w14:paraId="3382F002" w14:textId="0A5E268A" w:rsidR="004C01EA" w:rsidRPr="00FA2AB1" w:rsidRDefault="004C01EA" w:rsidP="005E54EC">
      <w:pPr>
        <w:pStyle w:val="ListParagraph"/>
      </w:pPr>
      <w:r w:rsidRPr="00FA2AB1">
        <w:t>protecting those who speak up from detrimental action</w:t>
      </w:r>
    </w:p>
    <w:p w14:paraId="0BEE33FE" w14:textId="740A6A43" w:rsidR="004C01EA" w:rsidRPr="00FA2AB1" w:rsidRDefault="004C01EA" w:rsidP="005E54EC">
      <w:pPr>
        <w:pStyle w:val="ListParagraph"/>
      </w:pPr>
      <w:r w:rsidRPr="00FA2AB1">
        <w:t>imposing duties on agencies who receive reports of wrongdoing to take appropriate action to investigate or otherwise deal with them.</w:t>
      </w:r>
    </w:p>
    <w:p w14:paraId="20788E2E" w14:textId="2B5718EB" w:rsidR="004C01EA" w:rsidRDefault="004C01EA" w:rsidP="00FA2AB1">
      <w:pPr>
        <w:pStyle w:val="BodyText"/>
      </w:pPr>
      <w:r w:rsidRPr="0049780B">
        <w:t xml:space="preserve">In NSW, that framework is the </w:t>
      </w:r>
      <w:r>
        <w:t>PID Act.</w:t>
      </w:r>
    </w:p>
    <w:p w14:paraId="08378F7F" w14:textId="4763BA13" w:rsidR="004C01EA" w:rsidRDefault="004C01EA" w:rsidP="00FA2AB1">
      <w:pPr>
        <w:pStyle w:val="BodyText"/>
      </w:pPr>
      <w:r>
        <w:t>This policy should be read in conjun</w:t>
      </w:r>
      <w:r w:rsidR="00075D60">
        <w:t xml:space="preserve">ction with </w:t>
      </w:r>
      <w:r w:rsidR="00CD3964">
        <w:t>[</w:t>
      </w:r>
      <w:r w:rsidR="00075D60">
        <w:t xml:space="preserve">names and links to the </w:t>
      </w:r>
      <w:r w:rsidR="000955D8">
        <w:t>a</w:t>
      </w:r>
      <w:r w:rsidR="00075D60">
        <w:t xml:space="preserve">gency’s relevant policies such as a Code of Conduct, </w:t>
      </w:r>
      <w:r w:rsidR="00A33407">
        <w:t xml:space="preserve">documents articulating the agency’s values and principles, </w:t>
      </w:r>
      <w:r w:rsidR="00075D60">
        <w:t xml:space="preserve">internal policies on grievance handling, misconduct matters, </w:t>
      </w:r>
      <w:r w:rsidR="003A05DC">
        <w:t>and dealing with internal fraud and corruption].</w:t>
      </w:r>
    </w:p>
    <w:p w14:paraId="4F98530F" w14:textId="77777777" w:rsidR="009B6693" w:rsidRDefault="009B6693" w:rsidP="004C01EA">
      <w:pPr>
        <w:rPr>
          <w:rFonts w:ascii="Arial" w:hAnsi="Arial" w:cs="Arial"/>
        </w:rPr>
      </w:pPr>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tblLook w:val="04A0" w:firstRow="1" w:lastRow="0" w:firstColumn="1" w:lastColumn="0" w:noHBand="0" w:noVBand="1"/>
      </w:tblPr>
      <w:tblGrid>
        <w:gridCol w:w="8898"/>
      </w:tblGrid>
      <w:tr w:rsidR="009B6693" w14:paraId="2EC030DA" w14:textId="77777777" w:rsidTr="005E54EC">
        <w:tc>
          <w:tcPr>
            <w:tcW w:w="9060" w:type="dxa"/>
            <w:shd w:val="clear" w:color="auto" w:fill="CEDDD4"/>
          </w:tcPr>
          <w:p w14:paraId="4BE8E79C" w14:textId="060F5684" w:rsidR="00037CEF" w:rsidRPr="00037CEF" w:rsidRDefault="0071549A" w:rsidP="005E54EC">
            <w:pPr>
              <w:pStyle w:val="Notestyle"/>
            </w:pPr>
            <w:r w:rsidRPr="001036E3">
              <w:rPr>
                <w:b/>
              </w:rPr>
              <w:t>Guidance</w:t>
            </w:r>
            <w:r w:rsidR="00037CEF" w:rsidRPr="001036E3">
              <w:t>:</w:t>
            </w:r>
            <w:r w:rsidR="00037CEF" w:rsidRPr="00037CEF">
              <w:t xml:space="preserve"> By articulating the </w:t>
            </w:r>
            <w:r w:rsidR="00037CEF" w:rsidRPr="00037CEF">
              <w:rPr>
                <w:i/>
              </w:rPr>
              <w:t>purpose</w:t>
            </w:r>
            <w:r w:rsidR="00037CEF" w:rsidRPr="00037CEF">
              <w:t xml:space="preserve"> of the PID Policy, agencies have an opportunity to demonstrate </w:t>
            </w:r>
            <w:r w:rsidR="000C736B">
              <w:t>their</w:t>
            </w:r>
            <w:r w:rsidR="00037CEF" w:rsidRPr="00037CEF">
              <w:t xml:space="preserve"> commitment to the principles in the PID Act.</w:t>
            </w:r>
          </w:p>
          <w:p w14:paraId="410A31B9" w14:textId="5DFD41D1" w:rsidR="00037CEF" w:rsidRPr="00037CEF" w:rsidRDefault="00037CEF" w:rsidP="005E54EC">
            <w:pPr>
              <w:pStyle w:val="Notestyle"/>
            </w:pPr>
            <w:r w:rsidRPr="00037CEF">
              <w:t xml:space="preserve">It is important to create a positive and </w:t>
            </w:r>
            <w:r w:rsidR="005046F3">
              <w:t>safe</w:t>
            </w:r>
            <w:r w:rsidR="005046F3" w:rsidRPr="00037CEF">
              <w:t xml:space="preserve"> </w:t>
            </w:r>
            <w:r w:rsidRPr="00037CEF">
              <w:t xml:space="preserve">environment so that employees feel they can come forward and make reports, and that the </w:t>
            </w:r>
            <w:r w:rsidR="000C736B">
              <w:t>a</w:t>
            </w:r>
            <w:r w:rsidRPr="00037CEF">
              <w:t xml:space="preserve">gency will take active steps to protect and support them if they do </w:t>
            </w:r>
            <w:r w:rsidR="00DE2957">
              <w:t>so</w:t>
            </w:r>
            <w:r w:rsidRPr="00037CEF">
              <w:t>. It is also important to reassure employees that reporting wrongdoing is a normal part of working for the agency and that it is consistent with the agency’s approach to upholding the integrity of the agency.</w:t>
            </w:r>
          </w:p>
          <w:p w14:paraId="3F226F2F" w14:textId="7449309B" w:rsidR="00037CEF" w:rsidRPr="00037CEF" w:rsidRDefault="00B145E1" w:rsidP="005E54EC">
            <w:pPr>
              <w:pStyle w:val="Notestyle"/>
            </w:pPr>
            <w:r>
              <w:t xml:space="preserve">Agencies can choose to </w:t>
            </w:r>
            <w:r w:rsidR="00BD796C">
              <w:t xml:space="preserve">adopt the </w:t>
            </w:r>
            <w:r w:rsidR="00BD796C" w:rsidRPr="00A27302">
              <w:rPr>
                <w:i/>
              </w:rPr>
              <w:t xml:space="preserve">purpose </w:t>
            </w:r>
            <w:r w:rsidR="00BD796C">
              <w:t xml:space="preserve">section above or </w:t>
            </w:r>
            <w:r w:rsidR="004A092D">
              <w:t>can draft their own</w:t>
            </w:r>
            <w:r w:rsidR="008C1362">
              <w:t xml:space="preserve"> </w:t>
            </w:r>
            <w:r w:rsidR="008C1362" w:rsidRPr="00A27302">
              <w:rPr>
                <w:i/>
              </w:rPr>
              <w:t>purpose</w:t>
            </w:r>
            <w:r w:rsidR="004A092D" w:rsidRPr="00A27302">
              <w:rPr>
                <w:i/>
              </w:rPr>
              <w:t xml:space="preserve"> </w:t>
            </w:r>
            <w:r w:rsidR="004A092D">
              <w:t>section</w:t>
            </w:r>
            <w:r w:rsidR="00EB3E7F">
              <w:t xml:space="preserve">. If an agency chooses to draft its own </w:t>
            </w:r>
            <w:r w:rsidR="00EB3E7F" w:rsidRPr="00A27302">
              <w:rPr>
                <w:i/>
              </w:rPr>
              <w:t xml:space="preserve">purpose </w:t>
            </w:r>
            <w:r w:rsidR="00EB3E7F">
              <w:t>section</w:t>
            </w:r>
            <w:r w:rsidR="006B10CA">
              <w:t>,</w:t>
            </w:r>
            <w:r w:rsidR="004A092D">
              <w:t xml:space="preserve"> </w:t>
            </w:r>
            <w:r w:rsidR="00037CEF" w:rsidRPr="00037CEF">
              <w:t>wording</w:t>
            </w:r>
            <w:r w:rsidR="008C1362">
              <w:t xml:space="preserve"> should be </w:t>
            </w:r>
            <w:r w:rsidR="006B10CA">
              <w:t xml:space="preserve">included </w:t>
            </w:r>
            <w:r w:rsidR="006B10CA" w:rsidRPr="00037CEF">
              <w:t>that</w:t>
            </w:r>
            <w:r w:rsidR="00037CEF" w:rsidRPr="00037CEF">
              <w:t xml:space="preserve"> confirms the following:</w:t>
            </w:r>
          </w:p>
          <w:p w14:paraId="271023E9" w14:textId="57D2D068" w:rsidR="00037CEF" w:rsidRPr="00037CEF" w:rsidRDefault="00037CEF" w:rsidP="005E54EC">
            <w:pPr>
              <w:pStyle w:val="notestylebullets"/>
              <w:rPr>
                <w:i/>
              </w:rPr>
            </w:pPr>
            <w:r w:rsidRPr="00037CEF">
              <w:t xml:space="preserve">the importance of the PID Policy and how it aligns </w:t>
            </w:r>
            <w:r w:rsidR="00FF7B55">
              <w:t>with</w:t>
            </w:r>
            <w:r w:rsidR="00FF7B55" w:rsidRPr="00037CEF">
              <w:t xml:space="preserve"> </w:t>
            </w:r>
            <w:r w:rsidRPr="00037CEF">
              <w:t>the existing processes in place to detect serious wrongdoing</w:t>
            </w:r>
          </w:p>
          <w:p w14:paraId="313E6036" w14:textId="76D7139C" w:rsidR="00037CEF" w:rsidRPr="00037CEF" w:rsidRDefault="00037CEF" w:rsidP="00DB26F0">
            <w:pPr>
              <w:pStyle w:val="notestylebullets"/>
              <w:spacing w:after="120"/>
              <w:ind w:left="590" w:hanging="284"/>
              <w:rPr>
                <w:i/>
              </w:rPr>
            </w:pPr>
            <w:r w:rsidRPr="00037CEF">
              <w:t>that the agency encourages employees (and the relevant volunteers, contractors and subcontractors) to report serious wrongdoing and other misconduct</w:t>
            </w:r>
          </w:p>
          <w:p w14:paraId="40FDC4CB" w14:textId="08EC2AA9" w:rsidR="00037CEF" w:rsidRPr="00037CEF" w:rsidRDefault="00037CEF" w:rsidP="005E54EC">
            <w:pPr>
              <w:pStyle w:val="notestylebullets"/>
              <w:rPr>
                <w:i/>
              </w:rPr>
            </w:pPr>
            <w:r w:rsidRPr="00037CEF">
              <w:lastRenderedPageBreak/>
              <w:t>that the agency is committed to supporting and protecting people that report serious wrongdoing and that detrimental action against reporters will not be tolerated</w:t>
            </w:r>
          </w:p>
          <w:p w14:paraId="5658FBC9" w14:textId="672D46EC" w:rsidR="009B6693" w:rsidRPr="00833509" w:rsidRDefault="00037CEF" w:rsidP="00FF23A4">
            <w:pPr>
              <w:pStyle w:val="notestylebullets"/>
              <w:spacing w:after="120"/>
              <w:ind w:left="590" w:hanging="284"/>
              <w:rPr>
                <w:i/>
              </w:rPr>
            </w:pPr>
            <w:r w:rsidRPr="00037CEF">
              <w:t>that everyone in the agency has a responsibility to speak up and act in the public interest by doing so, and that the agency will in turn, ensure that reporters are protected.</w:t>
            </w:r>
          </w:p>
        </w:tc>
      </w:tr>
    </w:tbl>
    <w:p w14:paraId="2D330394" w14:textId="531020F4" w:rsidR="007E19FB" w:rsidRPr="004C01EA" w:rsidRDefault="007E19FB" w:rsidP="004C01EA">
      <w:pPr>
        <w:rPr>
          <w:rFonts w:ascii="Arial" w:hAnsi="Arial" w:cs="Arial"/>
        </w:rPr>
      </w:pPr>
    </w:p>
    <w:p w14:paraId="089CCD34" w14:textId="14A2B1EB" w:rsidR="003B7C89" w:rsidRPr="00833509" w:rsidRDefault="00652C25" w:rsidP="0093701F">
      <w:pPr>
        <w:pStyle w:val="Heading2"/>
        <w:numPr>
          <w:ilvl w:val="0"/>
          <w:numId w:val="0"/>
        </w:numPr>
      </w:pPr>
      <w:bookmarkStart w:id="21" w:name="_Toc140251710"/>
      <w:r w:rsidRPr="00833509">
        <w:t>Accessibility of this policy</w:t>
      </w:r>
      <w:bookmarkEnd w:id="21"/>
    </w:p>
    <w:p w14:paraId="095B9E59" w14:textId="7B2E468D" w:rsidR="00F95CA0" w:rsidRDefault="001B01BD" w:rsidP="009F4B22">
      <w:pPr>
        <w:pStyle w:val="BodyText"/>
      </w:pPr>
      <w:r w:rsidRPr="00833509">
        <w:t xml:space="preserve">This policy is available on </w:t>
      </w:r>
      <w:r w:rsidR="00CD3964">
        <w:t>[</w:t>
      </w:r>
      <w:r w:rsidR="00864FF3">
        <w:t>our/</w:t>
      </w:r>
      <w:r w:rsidR="000955D8">
        <w:t>a</w:t>
      </w:r>
      <w:r w:rsidRPr="00833509">
        <w:t xml:space="preserve">gency name] </w:t>
      </w:r>
      <w:r w:rsidR="00EF1009" w:rsidRPr="00833509">
        <w:t>publicly available website as well as on the [intranet/insert name of the agency’s intranet].</w:t>
      </w:r>
    </w:p>
    <w:p w14:paraId="23D5CE91" w14:textId="1A33D202" w:rsidR="00F95CA0" w:rsidRDefault="009A6033" w:rsidP="009F4B22">
      <w:pPr>
        <w:pStyle w:val="BodyText"/>
      </w:pPr>
      <w:r>
        <w:t xml:space="preserve">A copy of the policy is also sent to all staff of </w:t>
      </w:r>
      <w:r w:rsidR="00CD3964">
        <w:t>[</w:t>
      </w:r>
      <w:r>
        <w:t>agency</w:t>
      </w:r>
      <w:r w:rsidR="000C5C56">
        <w:t xml:space="preserve"> name</w:t>
      </w:r>
      <w:r>
        <w:t xml:space="preserve">] </w:t>
      </w:r>
      <w:r w:rsidR="0072179E">
        <w:t xml:space="preserve">on their commencement. A hard copy of the policy can be requested from </w:t>
      </w:r>
      <w:r w:rsidR="00CD3964">
        <w:t>[</w:t>
      </w:r>
      <w:r w:rsidR="0072179E">
        <w:t>position or unit].</w:t>
      </w:r>
    </w:p>
    <w:p w14:paraId="187FA4A3" w14:textId="77777777" w:rsidR="001E4610" w:rsidRPr="00833509" w:rsidRDefault="001E4610" w:rsidP="007B4527">
      <w:pPr>
        <w:rPr>
          <w:rFonts w:ascii="Arial" w:hAnsi="Arial" w:cs="Arial"/>
        </w:rPr>
      </w:pPr>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shd w:val="clear" w:color="auto" w:fill="D9D9D9" w:themeFill="background1" w:themeFillShade="D9"/>
        <w:tblLook w:val="04A0" w:firstRow="1" w:lastRow="0" w:firstColumn="1" w:lastColumn="0" w:noHBand="0" w:noVBand="1"/>
      </w:tblPr>
      <w:tblGrid>
        <w:gridCol w:w="8898"/>
      </w:tblGrid>
      <w:tr w:rsidR="001E4610" w14:paraId="6AC15EE1" w14:textId="77777777" w:rsidTr="005E54EC">
        <w:tc>
          <w:tcPr>
            <w:tcW w:w="9060" w:type="dxa"/>
            <w:shd w:val="clear" w:color="auto" w:fill="CEDDD4"/>
          </w:tcPr>
          <w:p w14:paraId="267F5C50" w14:textId="0A8D8DFD" w:rsidR="001E4610" w:rsidRDefault="0071549A" w:rsidP="005E54EC">
            <w:pPr>
              <w:pStyle w:val="Notestyle"/>
            </w:pPr>
            <w:r w:rsidRPr="001036E3">
              <w:rPr>
                <w:b/>
                <w:iCs w:val="0"/>
              </w:rPr>
              <w:t>Guidance</w:t>
            </w:r>
            <w:r w:rsidR="001E4610" w:rsidRPr="001036E3">
              <w:rPr>
                <w:iCs w:val="0"/>
              </w:rPr>
              <w:t xml:space="preserve">: </w:t>
            </w:r>
            <w:r w:rsidR="001E4610" w:rsidRPr="00833509">
              <w:t>Under s</w:t>
            </w:r>
            <w:r w:rsidR="000C5C56">
              <w:t>ection</w:t>
            </w:r>
            <w:r w:rsidR="001E4610" w:rsidRPr="00833509">
              <w:t xml:space="preserve"> 47 of the PID Act, agencies have to prominently publi</w:t>
            </w:r>
            <w:r w:rsidR="00C822F2" w:rsidRPr="00833509">
              <w:t>sh</w:t>
            </w:r>
            <w:r w:rsidR="001E4610" w:rsidRPr="00833509">
              <w:t xml:space="preserve"> the PID policy on the agency’s public website and the agency’s intranet.</w:t>
            </w:r>
            <w:r w:rsidR="001E4610">
              <w:t xml:space="preserve"> If the agency does not have a public website or an intranet, they have to otherwise ensure that it is readily accessible to all public officials associated with the agency.</w:t>
            </w:r>
          </w:p>
          <w:p w14:paraId="075D4FAC" w14:textId="7C099125" w:rsidR="001E4610" w:rsidRDefault="001E4610" w:rsidP="005E54EC">
            <w:pPr>
              <w:pStyle w:val="Notestyle"/>
            </w:pPr>
            <w:r>
              <w:t xml:space="preserve">In the section </w:t>
            </w:r>
            <w:r w:rsidR="000C5C56">
              <w:t>‘</w:t>
            </w:r>
            <w:r>
              <w:t>Accessibility of this policy</w:t>
            </w:r>
            <w:r w:rsidR="000C5C56">
              <w:t>’</w:t>
            </w:r>
            <w:r>
              <w:t xml:space="preserve"> agencies should include how the policy will be made available if it does not have a public website or intranet.</w:t>
            </w:r>
          </w:p>
          <w:p w14:paraId="1A2078A7" w14:textId="1612276A" w:rsidR="001E4610" w:rsidRDefault="001E4610" w:rsidP="005E54EC">
            <w:pPr>
              <w:pStyle w:val="Notestyle"/>
            </w:pPr>
            <w:r>
              <w:t>Agencies can provide more specific information here about the precise location of the policy to assist staff to locate it.</w:t>
            </w:r>
          </w:p>
        </w:tc>
      </w:tr>
    </w:tbl>
    <w:p w14:paraId="2095D929" w14:textId="38E37218" w:rsidR="00E9299C" w:rsidRDefault="00E9299C" w:rsidP="0093701F">
      <w:pPr>
        <w:pStyle w:val="Heading2"/>
        <w:numPr>
          <w:ilvl w:val="0"/>
          <w:numId w:val="0"/>
        </w:numPr>
      </w:pPr>
      <w:bookmarkStart w:id="22" w:name="_Toc140251711"/>
      <w:r w:rsidRPr="001F1F52">
        <w:t>Who does this policy apply to?</w:t>
      </w:r>
      <w:bookmarkEnd w:id="22"/>
    </w:p>
    <w:p w14:paraId="61E49D1E" w14:textId="2783BE8D" w:rsidR="00614C55" w:rsidRPr="004C2391" w:rsidRDefault="005B4C44" w:rsidP="009F4B22">
      <w:pPr>
        <w:pStyle w:val="BodyText"/>
      </w:pPr>
      <w:r w:rsidRPr="00833509">
        <w:t>This policy applies to</w:t>
      </w:r>
      <w:r w:rsidR="000C5C56">
        <w:t>,</w:t>
      </w:r>
      <w:r w:rsidRPr="00833509">
        <w:t xml:space="preserve"> </w:t>
      </w:r>
      <w:r w:rsidR="000C5C56">
        <w:t xml:space="preserve">and </w:t>
      </w:r>
      <w:r w:rsidR="00B677E1">
        <w:t>for the benefit of</w:t>
      </w:r>
      <w:r w:rsidR="000C5C56">
        <w:t>,</w:t>
      </w:r>
      <w:r w:rsidR="00AF2CE2">
        <w:t xml:space="preserve"> all</w:t>
      </w:r>
      <w:r w:rsidRPr="00833509">
        <w:t xml:space="preserve"> public officials </w:t>
      </w:r>
      <w:r w:rsidR="006E528C" w:rsidRPr="00833509">
        <w:t xml:space="preserve">in NSW. </w:t>
      </w:r>
      <w:r w:rsidR="003803A3" w:rsidRPr="00833509">
        <w:t xml:space="preserve">You are a public official if you </w:t>
      </w:r>
      <w:r w:rsidR="00614C55" w:rsidRPr="00833509">
        <w:t>are:</w:t>
      </w:r>
    </w:p>
    <w:p w14:paraId="24F5CA61" w14:textId="0E0F0DB4" w:rsidR="00614C55" w:rsidRPr="00833509" w:rsidRDefault="00614C55" w:rsidP="005E54EC">
      <w:pPr>
        <w:pStyle w:val="ListParagraph"/>
      </w:pPr>
      <w:r w:rsidRPr="00833509">
        <w:t>a person employed in or by an agency or otherwise in the service of an agency</w:t>
      </w:r>
    </w:p>
    <w:p w14:paraId="0461ADEE" w14:textId="728D78F8" w:rsidR="00614C55" w:rsidRPr="00833509" w:rsidRDefault="00614C55" w:rsidP="005E54EC">
      <w:pPr>
        <w:pStyle w:val="ListParagraph"/>
      </w:pPr>
      <w:r w:rsidRPr="00833509">
        <w:t>a person having public official functions or acting in a public official capacity whose conduct or activities an integrity agency is authorised by another Act or law to investigate</w:t>
      </w:r>
    </w:p>
    <w:p w14:paraId="325A29E6" w14:textId="3866C658" w:rsidR="00614C55" w:rsidRPr="00833509" w:rsidRDefault="00614C55" w:rsidP="005E54EC">
      <w:pPr>
        <w:pStyle w:val="ListParagraph"/>
      </w:pPr>
      <w:r w:rsidRPr="00833509">
        <w:t>an individual in the service of the Crown</w:t>
      </w:r>
    </w:p>
    <w:p w14:paraId="48063D5D" w14:textId="0CBA5757" w:rsidR="00614C55" w:rsidRPr="00833509" w:rsidRDefault="00614C55" w:rsidP="005E54EC">
      <w:pPr>
        <w:pStyle w:val="ListParagraph"/>
      </w:pPr>
      <w:r w:rsidRPr="00833509">
        <w:t>a statutory officer</w:t>
      </w:r>
    </w:p>
    <w:p w14:paraId="326CE656" w14:textId="31866C83" w:rsidR="00614C55" w:rsidRPr="00833509" w:rsidRDefault="00614C55" w:rsidP="005E54EC">
      <w:pPr>
        <w:pStyle w:val="ListParagraph"/>
      </w:pPr>
      <w:r w:rsidRPr="00833509">
        <w:t>a person providing services or exercising functions on behalf of an agency, including a contractor, subcontractor or volunteer</w:t>
      </w:r>
    </w:p>
    <w:p w14:paraId="6A7F7788" w14:textId="1F5EA1D3" w:rsidR="00BC3A25" w:rsidRPr="009F4B22" w:rsidRDefault="00100C10" w:rsidP="005E54EC">
      <w:pPr>
        <w:pStyle w:val="ListParagraph"/>
      </w:pPr>
      <w:r>
        <w:rPr>
          <w:rStyle w:val="normaltextrun"/>
        </w:rPr>
        <w:t xml:space="preserve">an </w:t>
      </w:r>
      <w:r w:rsidR="00BC3A25" w:rsidRPr="009F4B22">
        <w:rPr>
          <w:rStyle w:val="normaltextrun"/>
        </w:rPr>
        <w:t xml:space="preserve">employee, partner </w:t>
      </w:r>
      <w:r>
        <w:rPr>
          <w:rStyle w:val="normaltextrun"/>
        </w:rPr>
        <w:t>or</w:t>
      </w:r>
      <w:r w:rsidR="00BC3A25" w:rsidRPr="009F4B22">
        <w:rPr>
          <w:rStyle w:val="normaltextrun"/>
        </w:rPr>
        <w:t xml:space="preserve"> officer</w:t>
      </w:r>
      <w:r>
        <w:rPr>
          <w:rStyle w:val="normaltextrun"/>
        </w:rPr>
        <w:t xml:space="preserve"> </w:t>
      </w:r>
      <w:r w:rsidR="00BC3A25" w:rsidRPr="009F4B22">
        <w:rPr>
          <w:rStyle w:val="normaltextrun"/>
        </w:rPr>
        <w:t xml:space="preserve">of </w:t>
      </w:r>
      <w:r>
        <w:rPr>
          <w:rStyle w:val="normaltextrun"/>
        </w:rPr>
        <w:t xml:space="preserve">an </w:t>
      </w:r>
      <w:r w:rsidR="00BC3A25" w:rsidRPr="009F4B22">
        <w:rPr>
          <w:rStyle w:val="normaltextrun"/>
        </w:rPr>
        <w:t>entit</w:t>
      </w:r>
      <w:r>
        <w:rPr>
          <w:rStyle w:val="normaltextrun"/>
        </w:rPr>
        <w:t>y</w:t>
      </w:r>
      <w:r w:rsidR="00BC3A25" w:rsidRPr="009F4B22">
        <w:rPr>
          <w:rStyle w:val="normaltextrun"/>
        </w:rPr>
        <w:t xml:space="preserve"> that provide</w:t>
      </w:r>
      <w:r w:rsidR="00BB3188">
        <w:rPr>
          <w:rStyle w:val="normaltextrun"/>
        </w:rPr>
        <w:t>s</w:t>
      </w:r>
      <w:r w:rsidR="00BC3A25" w:rsidRPr="009F4B22">
        <w:rPr>
          <w:rStyle w:val="normaltextrun"/>
        </w:rPr>
        <w:t xml:space="preserve"> services, under contract, subcontract or other arrangement, on behalf of an agency or exercise</w:t>
      </w:r>
      <w:r w:rsidR="00BB3188">
        <w:rPr>
          <w:rStyle w:val="normaltextrun"/>
        </w:rPr>
        <w:t>s</w:t>
      </w:r>
      <w:r w:rsidR="00BC3A25" w:rsidRPr="009F4B22">
        <w:rPr>
          <w:rStyle w:val="normaltextrun"/>
        </w:rPr>
        <w:t xml:space="preserve"> functions of </w:t>
      </w:r>
      <w:r w:rsidR="006A296C" w:rsidRPr="009F4B22">
        <w:rPr>
          <w:rStyle w:val="normaltextrun"/>
        </w:rPr>
        <w:t xml:space="preserve">an </w:t>
      </w:r>
      <w:r w:rsidR="00BC3A25" w:rsidRPr="009F4B22">
        <w:rPr>
          <w:rStyle w:val="normaltextrun"/>
        </w:rPr>
        <w:t>agency, and are involved in providing those services or exercising those functions</w:t>
      </w:r>
    </w:p>
    <w:p w14:paraId="5CC3566E" w14:textId="7D1F40DF" w:rsidR="00614C55" w:rsidRPr="00833509" w:rsidRDefault="00614C55" w:rsidP="005E54EC">
      <w:pPr>
        <w:pStyle w:val="ListParagraph"/>
      </w:pPr>
      <w:r w:rsidRPr="00833509">
        <w:t>a judicial officer</w:t>
      </w:r>
    </w:p>
    <w:p w14:paraId="4CD79779" w14:textId="6BFC8CFD" w:rsidR="00614C55" w:rsidRPr="00833509" w:rsidRDefault="00614C55" w:rsidP="005E54EC">
      <w:pPr>
        <w:pStyle w:val="ListParagraph"/>
      </w:pPr>
      <w:r w:rsidRPr="00833509">
        <w:t xml:space="preserve">a </w:t>
      </w:r>
      <w:r w:rsidR="0013038F">
        <w:t>M</w:t>
      </w:r>
      <w:r w:rsidRPr="00833509">
        <w:t>ember of Parliament</w:t>
      </w:r>
      <w:r w:rsidR="00B0120A">
        <w:t xml:space="preserve"> (</w:t>
      </w:r>
      <w:r w:rsidR="00B0120A" w:rsidRPr="0093701F">
        <w:rPr>
          <w:b/>
          <w:bCs/>
        </w:rPr>
        <w:t>MP</w:t>
      </w:r>
      <w:r w:rsidR="00B0120A">
        <w:t>)</w:t>
      </w:r>
      <w:r w:rsidRPr="00833509">
        <w:t>, including a Minister</w:t>
      </w:r>
    </w:p>
    <w:p w14:paraId="5A45588A" w14:textId="0090EFA5" w:rsidR="00614C55" w:rsidRPr="009F4B22" w:rsidRDefault="00614C55" w:rsidP="005E54EC">
      <w:pPr>
        <w:pStyle w:val="ListParagraph"/>
        <w:rPr>
          <w:i/>
        </w:rPr>
      </w:pPr>
      <w:r w:rsidRPr="00833509">
        <w:t>a person employed under the</w:t>
      </w:r>
      <w:r w:rsidRPr="004C2391">
        <w:t> </w:t>
      </w:r>
      <w:hyperlink r:id="rId12" w:tgtFrame="_blank" w:history="1">
        <w:r w:rsidRPr="0093701F">
          <w:rPr>
            <w:i/>
            <w:iCs/>
          </w:rPr>
          <w:t>Members of Parliament Staff Act 2013</w:t>
        </w:r>
      </w:hyperlink>
      <w:r w:rsidRPr="00833509">
        <w:rPr>
          <w:i/>
        </w:rPr>
        <w:t>. </w:t>
      </w:r>
    </w:p>
    <w:p w14:paraId="6D7A98F9" w14:textId="7FBCE210" w:rsidR="00E9299C" w:rsidRDefault="00A00A04" w:rsidP="009F4B22">
      <w:pPr>
        <w:pStyle w:val="BodyText"/>
      </w:pPr>
      <w:r w:rsidRPr="00A04FBC">
        <w:t xml:space="preserve">The </w:t>
      </w:r>
      <w:r w:rsidR="00CD3964">
        <w:t>[</w:t>
      </w:r>
      <w:r w:rsidR="00C7330E" w:rsidRPr="00A04FBC">
        <w:t xml:space="preserve">title of the head of the </w:t>
      </w:r>
      <w:r w:rsidR="000955D8">
        <w:t>a</w:t>
      </w:r>
      <w:r w:rsidR="00C7330E" w:rsidRPr="00A04FBC">
        <w:t xml:space="preserve">gency], other nominated disclosure officers and managers within </w:t>
      </w:r>
      <w:r w:rsidR="00CD3964">
        <w:t>[</w:t>
      </w:r>
      <w:r w:rsidR="00082CDE" w:rsidRPr="00A04FBC">
        <w:t>agency</w:t>
      </w:r>
      <w:r w:rsidR="00CD3964">
        <w:t xml:space="preserve"> name</w:t>
      </w:r>
      <w:r w:rsidR="00082CDE" w:rsidRPr="00A04FBC">
        <w:t xml:space="preserve">] have specific responsibilities under the PID Act. This </w:t>
      </w:r>
      <w:r w:rsidR="00AF2CE2">
        <w:t>p</w:t>
      </w:r>
      <w:r w:rsidR="00082CDE" w:rsidRPr="00A04FBC">
        <w:t xml:space="preserve">olicy also provides information on how people in these roles will fulfil their responsibilities. </w:t>
      </w:r>
      <w:r w:rsidR="00E9299C" w:rsidRPr="00A04FBC">
        <w:t xml:space="preserve">Other public officials who </w:t>
      </w:r>
      <w:r w:rsidR="00E9299C" w:rsidRPr="00A04FBC">
        <w:lastRenderedPageBreak/>
        <w:t xml:space="preserve">work in and for the public sector, but do not work for </w:t>
      </w:r>
      <w:r w:rsidR="00CD3964">
        <w:t>[</w:t>
      </w:r>
      <w:r w:rsidR="00E9299C" w:rsidRPr="00A04FBC">
        <w:t>agency name] may use this policy if they want information on who they can repor</w:t>
      </w:r>
      <w:r w:rsidR="001E4610">
        <w:t>t</w:t>
      </w:r>
      <w:r w:rsidR="00E9299C" w:rsidRPr="00A04FBC">
        <w:t xml:space="preserve"> wrongdoing to within </w:t>
      </w:r>
      <w:r w:rsidR="00CD3964">
        <w:t>[</w:t>
      </w:r>
      <w:r w:rsidR="00E9299C" w:rsidRPr="00A04FBC">
        <w:t xml:space="preserve">agency name]. </w:t>
      </w:r>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tblLook w:val="04A0" w:firstRow="1" w:lastRow="0" w:firstColumn="1" w:lastColumn="0" w:noHBand="0" w:noVBand="1"/>
      </w:tblPr>
      <w:tblGrid>
        <w:gridCol w:w="8898"/>
      </w:tblGrid>
      <w:tr w:rsidR="001E4610" w14:paraId="36C5824D" w14:textId="77777777" w:rsidTr="005E54EC">
        <w:tc>
          <w:tcPr>
            <w:tcW w:w="9060" w:type="dxa"/>
            <w:shd w:val="clear" w:color="auto" w:fill="CEDDD4"/>
          </w:tcPr>
          <w:p w14:paraId="0038C227" w14:textId="11348FDA" w:rsidR="001E4610" w:rsidRPr="00EB532B" w:rsidRDefault="0071549A" w:rsidP="005E54EC">
            <w:pPr>
              <w:pStyle w:val="Notestyle"/>
            </w:pPr>
            <w:r w:rsidRPr="001036E3">
              <w:rPr>
                <w:b/>
                <w:iCs w:val="0"/>
              </w:rPr>
              <w:t>Guidance</w:t>
            </w:r>
            <w:r w:rsidR="001E4610" w:rsidRPr="001036E3">
              <w:rPr>
                <w:iCs w:val="0"/>
              </w:rPr>
              <w:t>:</w:t>
            </w:r>
            <w:r w:rsidR="001E4610" w:rsidRPr="001036E3">
              <w:rPr>
                <w:b/>
                <w:iCs w:val="0"/>
              </w:rPr>
              <w:t xml:space="preserve"> </w:t>
            </w:r>
            <w:r w:rsidR="001E4610" w:rsidRPr="00EB532B">
              <w:t xml:space="preserve">Agencies should modify </w:t>
            </w:r>
            <w:r w:rsidR="000955D8">
              <w:t>‘</w:t>
            </w:r>
            <w:r w:rsidR="001E4610" w:rsidRPr="00EB532B">
              <w:t>Who does this policy apply to</w:t>
            </w:r>
            <w:r w:rsidR="000955D8">
              <w:t>’</w:t>
            </w:r>
            <w:r w:rsidR="001E4610" w:rsidRPr="00EB532B">
              <w:t xml:space="preserve"> to ensure it is applicable</w:t>
            </w:r>
            <w:r w:rsidR="00187CB4">
              <w:t>’</w:t>
            </w:r>
            <w:r w:rsidR="00F53B67">
              <w:t xml:space="preserve"> </w:t>
            </w:r>
            <w:r w:rsidR="00291F85">
              <w:t>in</w:t>
            </w:r>
            <w:r w:rsidR="001E4610" w:rsidRPr="00EB532B">
              <w:t xml:space="preserve"> the context of the agency. </w:t>
            </w:r>
          </w:p>
          <w:p w14:paraId="1C7D0AE4" w14:textId="2078EFB0" w:rsidR="001E4610" w:rsidRPr="00EB532B" w:rsidRDefault="001E4610" w:rsidP="005E54EC">
            <w:pPr>
              <w:pStyle w:val="Notestyle"/>
            </w:pPr>
            <w:r w:rsidRPr="00EB532B">
              <w:t>Agencies can include specific types of public officials wh</w:t>
            </w:r>
            <w:r w:rsidR="001F397E">
              <w:t>o</w:t>
            </w:r>
            <w:r w:rsidRPr="00EB532B">
              <w:t xml:space="preserve"> they have in their agency or who are associated with their agency. For example,</w:t>
            </w:r>
            <w:r w:rsidR="00117E34">
              <w:t xml:space="preserve"> an agency</w:t>
            </w:r>
            <w:r w:rsidRPr="00EB532B">
              <w:t xml:space="preserve"> may </w:t>
            </w:r>
            <w:r w:rsidR="004F1289">
              <w:t>consider highlighting that staff of</w:t>
            </w:r>
            <w:r w:rsidR="0088208F">
              <w:t xml:space="preserve"> specific</w:t>
            </w:r>
            <w:r w:rsidR="004F1289">
              <w:t xml:space="preserve"> private entities </w:t>
            </w:r>
            <w:r w:rsidR="0088208F">
              <w:t>that exercise functions on behalf of the agency are public officials</w:t>
            </w:r>
            <w:r w:rsidR="0029363D">
              <w:t>.</w:t>
            </w:r>
            <w:r w:rsidRPr="00EB532B">
              <w:t xml:space="preserve"> A full list of who is a public official is found in s</w:t>
            </w:r>
            <w:r w:rsidR="00F42B83">
              <w:t>ection</w:t>
            </w:r>
            <w:r w:rsidRPr="00EB532B">
              <w:t xml:space="preserve"> 14 of the </w:t>
            </w:r>
            <w:r w:rsidR="009A1363">
              <w:t xml:space="preserve">PID </w:t>
            </w:r>
            <w:r w:rsidRPr="00EB532B">
              <w:t xml:space="preserve">Act. Further guidance can be found in the Ombudsman guideline </w:t>
            </w:r>
            <w:r w:rsidR="00393E8E">
              <w:t>‘</w:t>
            </w:r>
            <w:r w:rsidRPr="00EB532B">
              <w:t>Core concepts in the PID Act</w:t>
            </w:r>
            <w:r w:rsidR="00393E8E">
              <w:t>’</w:t>
            </w:r>
            <w:r>
              <w:t>.</w:t>
            </w:r>
          </w:p>
          <w:p w14:paraId="04179391" w14:textId="18FD819F" w:rsidR="001E4610" w:rsidRPr="00EB532B" w:rsidRDefault="001E4610" w:rsidP="005E54EC">
            <w:pPr>
              <w:pStyle w:val="Notestyle"/>
            </w:pPr>
            <w:r w:rsidRPr="00EB532B">
              <w:t>If the agency engages consultants to assist the agency with their work, it should be noted that these consultants are not considered public officials under the PID Act.</w:t>
            </w:r>
          </w:p>
          <w:p w14:paraId="0A749D5C" w14:textId="5BC72E25" w:rsidR="001E4610" w:rsidRDefault="001E4610" w:rsidP="005E54EC">
            <w:pPr>
              <w:pStyle w:val="Notestyle"/>
            </w:pPr>
            <w:r w:rsidRPr="00EB532B">
              <w:t>Agencies can also identify here what is not covered by this policy with reference to other existing policies, such as policies on how a member of the public can complain about the agency or on how to deal with personal work-related grievances</w:t>
            </w:r>
            <w:r>
              <w:t>.</w:t>
            </w:r>
          </w:p>
        </w:tc>
      </w:tr>
    </w:tbl>
    <w:p w14:paraId="07B1EBE8" w14:textId="50626BF4" w:rsidR="00986755" w:rsidRDefault="00986755" w:rsidP="0093701F">
      <w:pPr>
        <w:pStyle w:val="Heading2"/>
        <w:numPr>
          <w:ilvl w:val="0"/>
          <w:numId w:val="0"/>
        </w:numPr>
      </w:pPr>
      <w:bookmarkStart w:id="23" w:name="_Toc140251712"/>
      <w:r w:rsidRPr="00833509">
        <w:t xml:space="preserve">Who </w:t>
      </w:r>
      <w:r w:rsidR="008239E9">
        <w:t xml:space="preserve">does </w:t>
      </w:r>
      <w:r w:rsidRPr="00833509">
        <w:t>this policy not apply to</w:t>
      </w:r>
      <w:r w:rsidR="008239E9">
        <w:t>?</w:t>
      </w:r>
      <w:bookmarkEnd w:id="23"/>
    </w:p>
    <w:p w14:paraId="628255C2" w14:textId="76469E6C" w:rsidR="007E2D7F" w:rsidRPr="0071549A" w:rsidRDefault="007E2D7F" w:rsidP="009F4B22">
      <w:pPr>
        <w:pStyle w:val="BodyText"/>
      </w:pPr>
      <w:r w:rsidRPr="0071549A">
        <w:t>This policy does not apply to</w:t>
      </w:r>
      <w:r w:rsidR="006E528C" w:rsidRPr="0071549A">
        <w:t>:</w:t>
      </w:r>
    </w:p>
    <w:p w14:paraId="589677C3" w14:textId="5FD35694" w:rsidR="00954018" w:rsidRPr="005E54EC" w:rsidRDefault="00CE26DB" w:rsidP="005E54EC">
      <w:pPr>
        <w:pStyle w:val="ListParagraph"/>
      </w:pPr>
      <w:r w:rsidRPr="005E54EC">
        <w:t>p</w:t>
      </w:r>
      <w:r w:rsidR="00D80DA2" w:rsidRPr="005E54EC">
        <w:t xml:space="preserve">eople who have received services from an agency and </w:t>
      </w:r>
      <w:r w:rsidR="0007553F" w:rsidRPr="005E54EC">
        <w:t xml:space="preserve">want </w:t>
      </w:r>
      <w:r w:rsidR="003552E4" w:rsidRPr="005E54EC">
        <w:t>to make a complaint about those services</w:t>
      </w:r>
    </w:p>
    <w:p w14:paraId="41BEB091" w14:textId="49AD58B6" w:rsidR="003D4A71" w:rsidRPr="005E54EC" w:rsidRDefault="00862001" w:rsidP="005E54EC">
      <w:pPr>
        <w:pStyle w:val="ListParagraph"/>
      </w:pPr>
      <w:r w:rsidRPr="005E54EC">
        <w:t>people</w:t>
      </w:r>
      <w:r w:rsidR="00146CBA" w:rsidRPr="005E54EC">
        <w:t xml:space="preserve">, such as contractors, who provide services to an agency. For example, employees of a company that </w:t>
      </w:r>
      <w:r w:rsidR="00B53AF6" w:rsidRPr="005E54EC">
        <w:t xml:space="preserve">sold </w:t>
      </w:r>
      <w:r w:rsidR="00146CBA" w:rsidRPr="005E54EC">
        <w:t>computer software to an agency.</w:t>
      </w:r>
    </w:p>
    <w:p w14:paraId="4BCF036F" w14:textId="6082533F" w:rsidR="003D4A71" w:rsidRPr="00833509" w:rsidRDefault="003D4A71" w:rsidP="009F4B22">
      <w:pPr>
        <w:pStyle w:val="BodyText"/>
      </w:pPr>
      <w:r w:rsidRPr="0071549A">
        <w:t>This means that if you are not a public official, this policy does not apply to your complaint</w:t>
      </w:r>
      <w:r w:rsidR="00FC362B" w:rsidRPr="00833509">
        <w:t xml:space="preserve"> </w:t>
      </w:r>
      <w:r w:rsidR="00C333D8">
        <w:t>(t</w:t>
      </w:r>
      <w:r w:rsidRPr="0071549A">
        <w:t xml:space="preserve">here are some circumstances where a </w:t>
      </w:r>
      <w:r w:rsidR="00B04DB9" w:rsidRPr="0071549A">
        <w:t>complaint can be deemed to be a voluntary PID</w:t>
      </w:r>
      <w:r w:rsidR="00806C48">
        <w:t>,</w:t>
      </w:r>
      <w:r w:rsidR="00B04DB9" w:rsidRPr="0071549A">
        <w:t xml:space="preserve"> </w:t>
      </w:r>
      <w:r w:rsidR="00806C48" w:rsidRPr="00084B45">
        <w:t>s</w:t>
      </w:r>
      <w:r w:rsidR="00B04DB9" w:rsidRPr="00084B45">
        <w:t xml:space="preserve">ee </w:t>
      </w:r>
      <w:r w:rsidR="003F7315" w:rsidRPr="00084B45">
        <w:t xml:space="preserve">section </w:t>
      </w:r>
      <w:r w:rsidR="00806C48" w:rsidRPr="00084B45">
        <w:t>1</w:t>
      </w:r>
      <w:r w:rsidR="00B45835">
        <w:t>(</w:t>
      </w:r>
      <w:proofErr w:type="spellStart"/>
      <w:r w:rsidR="00084B45" w:rsidRPr="00084B45">
        <w:t>i</w:t>
      </w:r>
      <w:proofErr w:type="spellEnd"/>
      <w:r w:rsidR="00B45835">
        <w:t>)</w:t>
      </w:r>
      <w:r w:rsidR="00BD2201">
        <w:t xml:space="preserve"> of this policy</w:t>
      </w:r>
      <w:r w:rsidR="00B04DB9">
        <w:t xml:space="preserve"> </w:t>
      </w:r>
      <w:r w:rsidR="00B04DB9" w:rsidRPr="0071549A">
        <w:t>for more information</w:t>
      </w:r>
      <w:r w:rsidR="00C333D8">
        <w:t>)</w:t>
      </w:r>
      <w:r w:rsidR="00B04DB9" w:rsidRPr="0071549A">
        <w:t xml:space="preserve">. </w:t>
      </w:r>
    </w:p>
    <w:p w14:paraId="025AFA02" w14:textId="13F35D63" w:rsidR="001E4610" w:rsidRPr="005E54EC" w:rsidRDefault="00FC362B" w:rsidP="005E54EC">
      <w:pPr>
        <w:pStyle w:val="BodyText"/>
        <w:rPr>
          <w:highlight w:val="yellow"/>
        </w:rPr>
      </w:pPr>
      <w:r w:rsidRPr="00833509">
        <w:t>However, y</w:t>
      </w:r>
      <w:r w:rsidR="00B04DB9" w:rsidRPr="00833509">
        <w:t>ou</w:t>
      </w:r>
      <w:r w:rsidR="003A5430" w:rsidRPr="00833509">
        <w:t xml:space="preserve"> can still make a complaint to </w:t>
      </w:r>
      <w:r w:rsidR="00CD3964">
        <w:t>[</w:t>
      </w:r>
      <w:r w:rsidR="003A5430" w:rsidRPr="00833509">
        <w:t>agency name</w:t>
      </w:r>
      <w:r w:rsidR="003D4A71" w:rsidRPr="00833509">
        <w:t>/us</w:t>
      </w:r>
      <w:r w:rsidR="003A5430" w:rsidRPr="00833509">
        <w:t>]. This can be done by:</w:t>
      </w:r>
    </w:p>
    <w:tbl>
      <w:tblPr>
        <w:tblStyle w:val="TableGrid"/>
        <w:tblW w:w="0" w:type="auto"/>
        <w:tblLook w:val="04A0" w:firstRow="1" w:lastRow="0" w:firstColumn="1" w:lastColumn="0" w:noHBand="0" w:noVBand="1"/>
      </w:tblPr>
      <w:tblGrid>
        <w:gridCol w:w="8898"/>
      </w:tblGrid>
      <w:tr w:rsidR="001E4610" w14:paraId="44E767A1" w14:textId="77777777" w:rsidTr="009F4B22">
        <w:tc>
          <w:tcPr>
            <w:tcW w:w="9060" w:type="dxa"/>
            <w:tcBorders>
              <w:top w:val="single" w:sz="4" w:space="0" w:color="0A4047"/>
              <w:left w:val="single" w:sz="4" w:space="0" w:color="0A4047"/>
              <w:bottom w:val="single" w:sz="4" w:space="0" w:color="0A4047"/>
              <w:right w:val="single" w:sz="4" w:space="0" w:color="0A4047"/>
            </w:tcBorders>
            <w:shd w:val="clear" w:color="auto" w:fill="CEDDD4"/>
          </w:tcPr>
          <w:p w14:paraId="445F3F9F" w14:textId="79598282" w:rsidR="001E4610" w:rsidRPr="00833509" w:rsidRDefault="0071549A" w:rsidP="005E54EC">
            <w:pPr>
              <w:pStyle w:val="Notestyle"/>
              <w:spacing w:after="60"/>
              <w:ind w:left="164"/>
            </w:pPr>
            <w:r w:rsidRPr="001036E3">
              <w:rPr>
                <w:b/>
                <w:iCs w:val="0"/>
              </w:rPr>
              <w:t>Guidance</w:t>
            </w:r>
            <w:r w:rsidR="001E4610" w:rsidRPr="001036E3">
              <w:rPr>
                <w:iCs w:val="0"/>
              </w:rPr>
              <w:t>:</w:t>
            </w:r>
            <w:r w:rsidR="001E4610" w:rsidRPr="001036E3">
              <w:rPr>
                <w:b/>
                <w:iCs w:val="0"/>
              </w:rPr>
              <w:t xml:space="preserve"> </w:t>
            </w:r>
            <w:r w:rsidR="001E4610" w:rsidRPr="00833509">
              <w:t xml:space="preserve">Agencies should include information about complaint processes for people who are not public officials but want to make a complaint about the agency. This should include links to complaint webpages or phone numbers. </w:t>
            </w:r>
          </w:p>
          <w:p w14:paraId="67BC7BD4" w14:textId="77777777" w:rsidR="001E4610" w:rsidRDefault="001E4610">
            <w:pPr>
              <w:rPr>
                <w:rFonts w:ascii="Arial" w:hAnsi="Arial" w:cs="Arial"/>
                <w:b/>
                <w:bCs/>
                <w:sz w:val="26"/>
                <w:szCs w:val="26"/>
              </w:rPr>
            </w:pPr>
          </w:p>
        </w:tc>
      </w:tr>
    </w:tbl>
    <w:p w14:paraId="23E944FC" w14:textId="4BCEDD37" w:rsidR="001E4610" w:rsidRDefault="002D3645" w:rsidP="0093701F">
      <w:pPr>
        <w:pStyle w:val="Heading2"/>
        <w:numPr>
          <w:ilvl w:val="0"/>
          <w:numId w:val="0"/>
        </w:numPr>
      </w:pPr>
      <w:bookmarkStart w:id="24" w:name="_Toc140251713"/>
      <w:r>
        <w:t>Compl</w:t>
      </w:r>
      <w:r w:rsidR="002845BB">
        <w:t>iance with the PID Act</w:t>
      </w:r>
      <w:bookmarkEnd w:id="24"/>
      <w:r w:rsidR="002845BB">
        <w:t xml:space="preserve"> </w:t>
      </w:r>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tblLook w:val="04A0" w:firstRow="1" w:lastRow="0" w:firstColumn="1" w:lastColumn="0" w:noHBand="0" w:noVBand="1"/>
      </w:tblPr>
      <w:tblGrid>
        <w:gridCol w:w="8898"/>
      </w:tblGrid>
      <w:tr w:rsidR="001E4610" w14:paraId="7466E318" w14:textId="77777777" w:rsidTr="00745B54">
        <w:tc>
          <w:tcPr>
            <w:tcW w:w="9060" w:type="dxa"/>
            <w:shd w:val="clear" w:color="auto" w:fill="CEDDD4"/>
          </w:tcPr>
          <w:p w14:paraId="2DC340D1" w14:textId="793F7BC8" w:rsidR="001E4610" w:rsidRDefault="0071549A" w:rsidP="005E54EC">
            <w:pPr>
              <w:pStyle w:val="Notestyle"/>
              <w:spacing w:before="240" w:after="60"/>
              <w:ind w:left="164"/>
            </w:pPr>
            <w:r w:rsidRPr="001036E3">
              <w:rPr>
                <w:b/>
                <w:iCs w:val="0"/>
              </w:rPr>
              <w:t>Guidance</w:t>
            </w:r>
            <w:r w:rsidR="001E4610" w:rsidRPr="001036E3">
              <w:rPr>
                <w:iCs w:val="0"/>
              </w:rPr>
              <w:t>:</w:t>
            </w:r>
            <w:r w:rsidR="001E4610" w:rsidRPr="001036E3">
              <w:rPr>
                <w:b/>
                <w:iCs w:val="0"/>
              </w:rPr>
              <w:t xml:space="preserve"> </w:t>
            </w:r>
            <w:r w:rsidR="001E4610">
              <w:t>Agencies can include in this section information about the review process for this policy, including:</w:t>
            </w:r>
          </w:p>
          <w:p w14:paraId="369A5DC1" w14:textId="7D6716DA" w:rsidR="001E4610" w:rsidRPr="00A77B29" w:rsidRDefault="008239E9" w:rsidP="005E54EC">
            <w:pPr>
              <w:pStyle w:val="notestylebullets"/>
            </w:pPr>
            <w:r>
              <w:t>t</w:t>
            </w:r>
            <w:r w:rsidR="001E4610">
              <w:t>he policy review schedule</w:t>
            </w:r>
          </w:p>
          <w:p w14:paraId="5B0B880F" w14:textId="3C6069F2" w:rsidR="001E4610" w:rsidRPr="00A77B29" w:rsidRDefault="008239E9" w:rsidP="005E54EC">
            <w:pPr>
              <w:pStyle w:val="notestylebullets"/>
            </w:pPr>
            <w:r>
              <w:t>w</w:t>
            </w:r>
            <w:r w:rsidR="001E4610">
              <w:t>ho will review the policy and who will approve the version of the policy</w:t>
            </w:r>
          </w:p>
          <w:p w14:paraId="646F8435" w14:textId="2F845A72" w:rsidR="001E4610" w:rsidRPr="00A77B29" w:rsidRDefault="008239E9" w:rsidP="005E54EC">
            <w:pPr>
              <w:pStyle w:val="notestylebullets"/>
            </w:pPr>
            <w:r>
              <w:t>w</w:t>
            </w:r>
            <w:r w:rsidR="001E4610">
              <w:t>ho can be contacted if an error or issue is found in the policy</w:t>
            </w:r>
          </w:p>
          <w:p w14:paraId="252FE083" w14:textId="038E98B7" w:rsidR="001E4610" w:rsidRDefault="008239E9" w:rsidP="005E54EC">
            <w:pPr>
              <w:pStyle w:val="notestylebullets"/>
            </w:pPr>
            <w:r>
              <w:t>w</w:t>
            </w:r>
            <w:r w:rsidR="001E4610">
              <w:t>ho will monitor the policy and consider whether it is meeting its purpose</w:t>
            </w:r>
            <w:r w:rsidR="00C13807">
              <w:t>.</w:t>
            </w:r>
          </w:p>
          <w:p w14:paraId="3276033C" w14:textId="77777777" w:rsidR="001E4610" w:rsidRDefault="001E4610" w:rsidP="001E4610"/>
        </w:tc>
      </w:tr>
    </w:tbl>
    <w:p w14:paraId="4C7B4466" w14:textId="72210C3F" w:rsidR="005C6C56" w:rsidRDefault="004D33BD" w:rsidP="0093701F">
      <w:pPr>
        <w:pStyle w:val="Heading2"/>
        <w:numPr>
          <w:ilvl w:val="0"/>
          <w:numId w:val="0"/>
        </w:numPr>
      </w:pPr>
      <w:bookmarkStart w:id="25" w:name="_Toc140251714"/>
      <w:r w:rsidRPr="001F1F52">
        <w:lastRenderedPageBreak/>
        <w:t>What</w:t>
      </w:r>
      <w:r w:rsidR="005D0158">
        <w:t xml:space="preserve"> is contained in this policy</w:t>
      </w:r>
      <w:r w:rsidR="00125C4B" w:rsidRPr="001F1F52">
        <w:t>?</w:t>
      </w:r>
      <w:bookmarkEnd w:id="25"/>
    </w:p>
    <w:p w14:paraId="283CDAA7" w14:textId="716E978E" w:rsidR="00FD5DED" w:rsidRDefault="00F148C5" w:rsidP="009F4B22">
      <w:pPr>
        <w:pStyle w:val="BodyText"/>
      </w:pPr>
      <w:r>
        <w:t>This policy will provide you with information on the following:</w:t>
      </w:r>
    </w:p>
    <w:p w14:paraId="419C99BE" w14:textId="57A733B3" w:rsidR="00FD5DED" w:rsidRPr="009F4B22" w:rsidRDefault="00CA3326" w:rsidP="005E54EC">
      <w:pPr>
        <w:pStyle w:val="ListParagraph"/>
      </w:pPr>
      <w:r w:rsidRPr="009F4B22">
        <w:t>w</w:t>
      </w:r>
      <w:r w:rsidR="00FD5DED" w:rsidRPr="009F4B22">
        <w:t xml:space="preserve">ays </w:t>
      </w:r>
      <w:r w:rsidR="00FA6A25" w:rsidRPr="009F4B22">
        <w:t xml:space="preserve">you can make </w:t>
      </w:r>
      <w:r w:rsidR="00AB0B77" w:rsidRPr="009F4B22">
        <w:t xml:space="preserve">a voluntary </w:t>
      </w:r>
      <w:r w:rsidR="00F148C5" w:rsidRPr="009F4B22">
        <w:t>PID</w:t>
      </w:r>
      <w:r w:rsidR="00007B93" w:rsidRPr="009F4B22">
        <w:t xml:space="preserve"> </w:t>
      </w:r>
      <w:r w:rsidR="00C13807" w:rsidRPr="009F4B22">
        <w:t xml:space="preserve">to </w:t>
      </w:r>
      <w:r w:rsidR="00CD3964" w:rsidRPr="009F4B22">
        <w:t>[</w:t>
      </w:r>
      <w:r w:rsidR="00D95AB4" w:rsidRPr="009F4B22">
        <w:t xml:space="preserve">agency name] </w:t>
      </w:r>
      <w:r w:rsidR="00AB0B77" w:rsidRPr="009F4B22">
        <w:t xml:space="preserve">under the PID Act </w:t>
      </w:r>
    </w:p>
    <w:p w14:paraId="4BA4DA07" w14:textId="2B4D05FD" w:rsidR="005217A6" w:rsidRPr="009F4B22" w:rsidRDefault="00FA6A25" w:rsidP="005E54EC">
      <w:pPr>
        <w:pStyle w:val="ListParagraph"/>
      </w:pPr>
      <w:r w:rsidRPr="009F4B22">
        <w:t xml:space="preserve">the </w:t>
      </w:r>
      <w:r w:rsidR="005217A6" w:rsidRPr="009F4B22">
        <w:t xml:space="preserve">names and contact details for </w:t>
      </w:r>
      <w:r w:rsidRPr="009F4B22">
        <w:t xml:space="preserve">the nominated </w:t>
      </w:r>
      <w:r w:rsidR="005217A6" w:rsidRPr="009F4B22">
        <w:t xml:space="preserve">disclosure officers </w:t>
      </w:r>
      <w:r w:rsidRPr="009F4B22">
        <w:t xml:space="preserve">in </w:t>
      </w:r>
      <w:r w:rsidR="00CD3964" w:rsidRPr="009F4B22">
        <w:t>[</w:t>
      </w:r>
      <w:r w:rsidR="005217A6" w:rsidRPr="009F4B22">
        <w:t>agency name]</w:t>
      </w:r>
    </w:p>
    <w:p w14:paraId="679FA2E1" w14:textId="7A2B9B37" w:rsidR="00FD035E" w:rsidRPr="009F4B22" w:rsidRDefault="00D95AB4" w:rsidP="005E54EC">
      <w:pPr>
        <w:pStyle w:val="ListParagraph"/>
      </w:pPr>
      <w:r w:rsidRPr="009F4B22">
        <w:t xml:space="preserve">the </w:t>
      </w:r>
      <w:r w:rsidR="00BE3635" w:rsidRPr="009F4B22">
        <w:t xml:space="preserve">roles and responsibilities </w:t>
      </w:r>
      <w:r w:rsidRPr="009F4B22">
        <w:t xml:space="preserve">of </w:t>
      </w:r>
      <w:r w:rsidR="007A67F7" w:rsidRPr="009F4B22">
        <w:t xml:space="preserve">people </w:t>
      </w:r>
      <w:r w:rsidRPr="009F4B22">
        <w:t>who hold particular roles under the PID Act and who</w:t>
      </w:r>
      <w:r w:rsidR="007A67F7" w:rsidRPr="009F4B22">
        <w:t xml:space="preserve"> are employees of </w:t>
      </w:r>
      <w:r w:rsidR="00CD3964" w:rsidRPr="009F4B22">
        <w:t>[</w:t>
      </w:r>
      <w:r w:rsidR="007A67F7" w:rsidRPr="009F4B22">
        <w:t>agency name]</w:t>
      </w:r>
    </w:p>
    <w:p w14:paraId="58E10D4C" w14:textId="75EE7ECB" w:rsidR="007315E0" w:rsidRPr="009F4B22" w:rsidRDefault="007315E0" w:rsidP="005E54EC">
      <w:pPr>
        <w:pStyle w:val="ListParagraph"/>
      </w:pPr>
      <w:r w:rsidRPr="009F4B22">
        <w:t xml:space="preserve">what information </w:t>
      </w:r>
      <w:r w:rsidR="007A67F7" w:rsidRPr="009F4B22">
        <w:t xml:space="preserve">you will receive once you have made a </w:t>
      </w:r>
      <w:r w:rsidRPr="009F4B22">
        <w:t>voluntary PID</w:t>
      </w:r>
    </w:p>
    <w:p w14:paraId="72C23358" w14:textId="18A18EB8" w:rsidR="0098008F" w:rsidRPr="009F4B22" w:rsidRDefault="00CA3326" w:rsidP="005E54EC">
      <w:pPr>
        <w:pStyle w:val="ListParagraph"/>
      </w:pPr>
      <w:r w:rsidRPr="009F4B22">
        <w:t>p</w:t>
      </w:r>
      <w:r w:rsidR="0098008F" w:rsidRPr="009F4B22">
        <w:t xml:space="preserve">rotections </w:t>
      </w:r>
      <w:r w:rsidR="00A807D3" w:rsidRPr="009F4B22">
        <w:t xml:space="preserve">available to people who make a </w:t>
      </w:r>
      <w:r w:rsidR="00310386" w:rsidRPr="009F4B22">
        <w:t>report</w:t>
      </w:r>
      <w:r w:rsidR="00A807D3" w:rsidRPr="009F4B22">
        <w:t xml:space="preserve"> of serious wrongdoing under the PID Act and what we will do to protect you</w:t>
      </w:r>
    </w:p>
    <w:p w14:paraId="7A309B82" w14:textId="0134AE52" w:rsidR="008B2CE3" w:rsidRPr="009F4B22" w:rsidRDefault="00CD3964" w:rsidP="005E54EC">
      <w:pPr>
        <w:pStyle w:val="ListParagraph"/>
      </w:pPr>
      <w:r w:rsidRPr="009F4B22">
        <w:t>[</w:t>
      </w:r>
      <w:r w:rsidR="00725057" w:rsidRPr="009F4B22">
        <w:t>agency name] procedures for dealing with disclosures</w:t>
      </w:r>
    </w:p>
    <w:p w14:paraId="0A94E3AF" w14:textId="3A4CA08D" w:rsidR="00725057" w:rsidRPr="009F4B22" w:rsidRDefault="00CD3964" w:rsidP="005E54EC">
      <w:pPr>
        <w:pStyle w:val="ListParagraph"/>
      </w:pPr>
      <w:r w:rsidRPr="009F4B22">
        <w:t>[</w:t>
      </w:r>
      <w:r w:rsidR="00587DA3" w:rsidRPr="009F4B22">
        <w:t>agency name]</w:t>
      </w:r>
      <w:r w:rsidR="00725057" w:rsidRPr="009F4B22">
        <w:t xml:space="preserve"> procedures </w:t>
      </w:r>
      <w:r w:rsidR="00587DA3" w:rsidRPr="009F4B22">
        <w:t>for managing the risk of detrimental action and reporting detrimental action</w:t>
      </w:r>
    </w:p>
    <w:p w14:paraId="3639E599" w14:textId="7C394033" w:rsidR="005217A6" w:rsidRPr="009F4B22" w:rsidRDefault="00CD3964" w:rsidP="005E54EC">
      <w:pPr>
        <w:pStyle w:val="ListParagraph"/>
      </w:pPr>
      <w:r w:rsidRPr="009F4B22">
        <w:t>[</w:t>
      </w:r>
      <w:r w:rsidR="005217A6" w:rsidRPr="009F4B22">
        <w:t>agency name] record</w:t>
      </w:r>
      <w:r w:rsidR="00EA2BC7" w:rsidRPr="009F4B22">
        <w:t>-</w:t>
      </w:r>
      <w:r w:rsidR="005217A6" w:rsidRPr="009F4B22">
        <w:t>keeping</w:t>
      </w:r>
      <w:r w:rsidR="0092509C" w:rsidRPr="009F4B22">
        <w:t xml:space="preserve"> and reporting</w:t>
      </w:r>
      <w:r w:rsidR="005217A6" w:rsidRPr="009F4B22">
        <w:t xml:space="preserve"> requirements</w:t>
      </w:r>
    </w:p>
    <w:p w14:paraId="4ABBE1C3" w14:textId="41E57509" w:rsidR="002A0765" w:rsidRDefault="00CA3326" w:rsidP="005E54EC">
      <w:pPr>
        <w:pStyle w:val="ListParagraph"/>
        <w:spacing w:after="120"/>
        <w:ind w:left="568" w:hanging="284"/>
      </w:pPr>
      <w:r w:rsidRPr="009F4B22">
        <w:t>h</w:t>
      </w:r>
      <w:r w:rsidR="00587DA3" w:rsidRPr="009F4B22">
        <w:t xml:space="preserve">ow </w:t>
      </w:r>
      <w:r w:rsidR="00CD3964" w:rsidRPr="009F4B22">
        <w:t>[</w:t>
      </w:r>
      <w:r w:rsidRPr="009F4B22">
        <w:t>agency name] will ensure it complies with the PID Act</w:t>
      </w:r>
      <w:r w:rsidR="00204181" w:rsidRPr="009F4B22">
        <w:t xml:space="preserve"> and this policy</w:t>
      </w:r>
      <w:r w:rsidRPr="009F4B22">
        <w:t>.</w:t>
      </w:r>
    </w:p>
    <w:p w14:paraId="3A1343C1" w14:textId="77777777" w:rsidR="003E2D15" w:rsidRDefault="003E2D15" w:rsidP="003E2D15">
      <w:pPr>
        <w:pStyle w:val="BodyText"/>
        <w:spacing w:before="120" w:after="0"/>
      </w:pPr>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tblLook w:val="04A0" w:firstRow="1" w:lastRow="0" w:firstColumn="1" w:lastColumn="0" w:noHBand="0" w:noVBand="1"/>
      </w:tblPr>
      <w:tblGrid>
        <w:gridCol w:w="8898"/>
      </w:tblGrid>
      <w:tr w:rsidR="00547E65" w14:paraId="2145BBFA" w14:textId="77777777" w:rsidTr="009F4B22">
        <w:tc>
          <w:tcPr>
            <w:tcW w:w="9060" w:type="dxa"/>
            <w:shd w:val="clear" w:color="auto" w:fill="CEDDD4"/>
          </w:tcPr>
          <w:p w14:paraId="090F0BD6" w14:textId="0F2868AB" w:rsidR="00547E65" w:rsidRDefault="0071549A" w:rsidP="005E54EC">
            <w:pPr>
              <w:pStyle w:val="Notestyle"/>
            </w:pPr>
            <w:r w:rsidRPr="001036E3">
              <w:rPr>
                <w:b/>
                <w:iCs w:val="0"/>
              </w:rPr>
              <w:t>Guidance</w:t>
            </w:r>
            <w:r w:rsidR="00547E65" w:rsidRPr="0093701F">
              <w:t>:</w:t>
            </w:r>
            <w:r w:rsidR="00547E65">
              <w:t xml:space="preserve"> </w:t>
            </w:r>
            <w:r w:rsidR="00547E65" w:rsidRPr="00833509">
              <w:t xml:space="preserve">The content contained in this section is what agencies must include in their PID policy </w:t>
            </w:r>
            <w:r w:rsidRPr="00833509">
              <w:t>under</w:t>
            </w:r>
            <w:r w:rsidR="00547E65" w:rsidRPr="00833509">
              <w:t xml:space="preserve"> s</w:t>
            </w:r>
            <w:r w:rsidR="00337EF3">
              <w:t>ection</w:t>
            </w:r>
            <w:r w:rsidR="00547E65" w:rsidRPr="00833509">
              <w:t xml:space="preserve"> 43 of the PID Act.</w:t>
            </w:r>
            <w:r w:rsidR="00547E65">
              <w:t xml:space="preserve"> </w:t>
            </w:r>
            <w:r>
              <w:t>If an agency</w:t>
            </w:r>
            <w:r w:rsidR="005600AC">
              <w:t xml:space="preserve"> has included more procedures or information in its PID policy</w:t>
            </w:r>
            <w:r w:rsidR="00E158EA">
              <w:t xml:space="preserve"> outside of the mandatory topics</w:t>
            </w:r>
            <w:r w:rsidR="00337EF3">
              <w:t>,</w:t>
            </w:r>
            <w:r w:rsidR="005600AC">
              <w:t xml:space="preserve"> then </w:t>
            </w:r>
            <w:r w:rsidR="00E158EA">
              <w:t>these topics</w:t>
            </w:r>
            <w:r>
              <w:t xml:space="preserve"> </w:t>
            </w:r>
            <w:r w:rsidR="00E158EA">
              <w:t>should be listed here.</w:t>
            </w:r>
          </w:p>
        </w:tc>
      </w:tr>
    </w:tbl>
    <w:p w14:paraId="28DBF015" w14:textId="2A6FD4C5" w:rsidR="001932F3" w:rsidRDefault="00F148C5" w:rsidP="009F4B22">
      <w:pPr>
        <w:pStyle w:val="BodyText"/>
        <w:spacing w:before="240"/>
      </w:pPr>
      <w:r>
        <w:t xml:space="preserve">If you require further information about </w:t>
      </w:r>
      <w:r w:rsidR="0092567F">
        <w:t xml:space="preserve">this policy, how </w:t>
      </w:r>
      <w:r>
        <w:t xml:space="preserve">public interest disclosures </w:t>
      </w:r>
      <w:r w:rsidR="0092567F">
        <w:t xml:space="preserve">will be handled </w:t>
      </w:r>
      <w:r w:rsidR="00FA6A25">
        <w:t>and the PID Act you can</w:t>
      </w:r>
      <w:r w:rsidR="001932F3">
        <w:t>:</w:t>
      </w:r>
    </w:p>
    <w:p w14:paraId="6E8E73F1" w14:textId="7C90067E" w:rsidR="000C6EBC" w:rsidRPr="009F4B22" w:rsidRDefault="000C6EBC" w:rsidP="005E54EC">
      <w:pPr>
        <w:pStyle w:val="ListParagraph"/>
      </w:pPr>
      <w:r w:rsidRPr="009F4B22">
        <w:t>confidentially</w:t>
      </w:r>
      <w:r w:rsidR="00FA6A25" w:rsidRPr="009F4B22">
        <w:t xml:space="preserve"> contact a nominated disclosure officer within [agency</w:t>
      </w:r>
      <w:r w:rsidR="00CD3964" w:rsidRPr="009F4B22">
        <w:t xml:space="preserve"> name</w:t>
      </w:r>
      <w:r w:rsidR="00FA6A25" w:rsidRPr="009F4B22">
        <w:t>]</w:t>
      </w:r>
    </w:p>
    <w:p w14:paraId="3B908F36" w14:textId="3C55FE71" w:rsidR="007A74B4" w:rsidRPr="009F4B22" w:rsidRDefault="000C6EBC" w:rsidP="005E54EC">
      <w:pPr>
        <w:pStyle w:val="ListParagraph"/>
      </w:pPr>
      <w:r w:rsidRPr="009F4B22">
        <w:t xml:space="preserve">contact the </w:t>
      </w:r>
      <w:r w:rsidR="007A74B4" w:rsidRPr="009F4B22">
        <w:t xml:space="preserve">PID Advice Team within </w:t>
      </w:r>
      <w:r w:rsidR="00FA6A25" w:rsidRPr="009F4B22">
        <w:t>the NSW Ombudsman</w:t>
      </w:r>
      <w:r w:rsidR="006A2823" w:rsidRPr="009F4B22">
        <w:t xml:space="preserve"> </w:t>
      </w:r>
      <w:r w:rsidR="00867227" w:rsidRPr="009F4B22">
        <w:t xml:space="preserve">by phone: </w:t>
      </w:r>
      <w:r w:rsidR="006032DE" w:rsidRPr="009F4B22">
        <w:t xml:space="preserve">(02) </w:t>
      </w:r>
      <w:r w:rsidR="00867227" w:rsidRPr="009F4B22">
        <w:t xml:space="preserve">9286 1000 or email: </w:t>
      </w:r>
      <w:hyperlink r:id="rId13" w:history="1">
        <w:r w:rsidR="005A2A95" w:rsidRPr="009F4B22">
          <w:rPr>
            <w:color w:val="0A4047"/>
            <w:u w:val="single"/>
          </w:rPr>
          <w:t>pidadvice@ombo.nsw.gov.au</w:t>
        </w:r>
      </w:hyperlink>
      <w:r w:rsidR="00940F51" w:rsidRPr="009F4B22">
        <w:t>,</w:t>
      </w:r>
      <w:r w:rsidR="005A2A95" w:rsidRPr="009F4B22">
        <w:t xml:space="preserve"> or</w:t>
      </w:r>
    </w:p>
    <w:p w14:paraId="04ECD6B7" w14:textId="41AE5310" w:rsidR="00F148C5" w:rsidRPr="009F4B22" w:rsidRDefault="00FA6A25" w:rsidP="005E54EC">
      <w:pPr>
        <w:pStyle w:val="ListParagraph"/>
      </w:pPr>
      <w:r w:rsidRPr="009F4B22">
        <w:t xml:space="preserve">access the NSW Ombudsman’s </w:t>
      </w:r>
      <w:r w:rsidR="00F92B3E" w:rsidRPr="009F4B22">
        <w:t xml:space="preserve">PID </w:t>
      </w:r>
      <w:r w:rsidRPr="009F4B22">
        <w:t>guidelines which are available on its website</w:t>
      </w:r>
      <w:r w:rsidR="00230082" w:rsidRPr="009F4B22">
        <w:t>.</w:t>
      </w:r>
    </w:p>
    <w:p w14:paraId="1109C346" w14:textId="261FEBD7" w:rsidR="00AB2581" w:rsidRDefault="002E652E" w:rsidP="009F4B22">
      <w:pPr>
        <w:pStyle w:val="BodyText"/>
      </w:pPr>
      <w:r>
        <w:t xml:space="preserve">If you require legal advice with respect to </w:t>
      </w:r>
      <w:r w:rsidR="003B7C89">
        <w:t>the PID Act or your obligations under the PID Act, you may need to seek independent legal advice.</w:t>
      </w:r>
      <w:r w:rsidR="00AB2581">
        <w:br w:type="page"/>
      </w:r>
    </w:p>
    <w:p w14:paraId="6120EC6E" w14:textId="2A246AA6" w:rsidR="00A0177D" w:rsidRDefault="005530E7" w:rsidP="000A6B30">
      <w:pPr>
        <w:pStyle w:val="Heading2"/>
        <w:ind w:left="426" w:hanging="426"/>
      </w:pPr>
      <w:bookmarkStart w:id="26" w:name="_Toc136865139"/>
      <w:bookmarkStart w:id="27" w:name="_Toc136874687"/>
      <w:bookmarkStart w:id="28" w:name="_Toc136898182"/>
      <w:bookmarkStart w:id="29" w:name="_Toc136898376"/>
      <w:bookmarkStart w:id="30" w:name="_Toc136935856"/>
      <w:bookmarkStart w:id="31" w:name="_Toc137638708"/>
      <w:bookmarkStart w:id="32" w:name="_Toc137638911"/>
      <w:bookmarkStart w:id="33" w:name="_Toc136847330"/>
      <w:bookmarkStart w:id="34" w:name="_Toc136865140"/>
      <w:bookmarkStart w:id="35" w:name="_Toc136874688"/>
      <w:bookmarkStart w:id="36" w:name="_Toc136898183"/>
      <w:bookmarkStart w:id="37" w:name="_Toc136898377"/>
      <w:bookmarkStart w:id="38" w:name="_Toc136935857"/>
      <w:bookmarkStart w:id="39" w:name="_Toc137638709"/>
      <w:bookmarkStart w:id="40" w:name="_Toc137638912"/>
      <w:bookmarkStart w:id="41" w:name="_Toc136847331"/>
      <w:bookmarkStart w:id="42" w:name="_Toc136865141"/>
      <w:bookmarkStart w:id="43" w:name="_Toc136874689"/>
      <w:bookmarkStart w:id="44" w:name="_Toc136898184"/>
      <w:bookmarkStart w:id="45" w:name="_Toc136898378"/>
      <w:bookmarkStart w:id="46" w:name="_Toc136935858"/>
      <w:bookmarkStart w:id="47" w:name="_Toc137638710"/>
      <w:bookmarkStart w:id="48" w:name="_Toc137638913"/>
      <w:bookmarkStart w:id="49" w:name="_Toc136847332"/>
      <w:bookmarkStart w:id="50" w:name="_Toc136865142"/>
      <w:bookmarkStart w:id="51" w:name="_Toc136874690"/>
      <w:bookmarkStart w:id="52" w:name="_Toc136898185"/>
      <w:bookmarkStart w:id="53" w:name="_Toc136898379"/>
      <w:bookmarkStart w:id="54" w:name="_Toc136935859"/>
      <w:bookmarkStart w:id="55" w:name="_Toc137638711"/>
      <w:bookmarkStart w:id="56" w:name="_Toc137638914"/>
      <w:bookmarkStart w:id="57" w:name="_Toc136847333"/>
      <w:bookmarkStart w:id="58" w:name="_Toc136865143"/>
      <w:bookmarkStart w:id="59" w:name="_Toc136874691"/>
      <w:bookmarkStart w:id="60" w:name="_Toc136898186"/>
      <w:bookmarkStart w:id="61" w:name="_Toc136898380"/>
      <w:bookmarkStart w:id="62" w:name="_Toc136935860"/>
      <w:bookmarkStart w:id="63" w:name="_Toc137638712"/>
      <w:bookmarkStart w:id="64" w:name="_Toc137638915"/>
      <w:bookmarkStart w:id="65" w:name="_Toc136847334"/>
      <w:bookmarkStart w:id="66" w:name="_Toc136865144"/>
      <w:bookmarkStart w:id="67" w:name="_Toc136874692"/>
      <w:bookmarkStart w:id="68" w:name="_Toc136898187"/>
      <w:bookmarkStart w:id="69" w:name="_Toc136898381"/>
      <w:bookmarkStart w:id="70" w:name="_Toc136935861"/>
      <w:bookmarkStart w:id="71" w:name="_Toc137638713"/>
      <w:bookmarkStart w:id="72" w:name="_Toc137638916"/>
      <w:bookmarkStart w:id="73" w:name="_Toc136847335"/>
      <w:bookmarkStart w:id="74" w:name="_Toc136865145"/>
      <w:bookmarkStart w:id="75" w:name="_Toc136874693"/>
      <w:bookmarkStart w:id="76" w:name="_Toc136898188"/>
      <w:bookmarkStart w:id="77" w:name="_Toc136898382"/>
      <w:bookmarkStart w:id="78" w:name="_Toc136935862"/>
      <w:bookmarkStart w:id="79" w:name="_Toc137638714"/>
      <w:bookmarkStart w:id="80" w:name="_Toc137638917"/>
      <w:bookmarkStart w:id="81" w:name="_Toc136847336"/>
      <w:bookmarkStart w:id="82" w:name="_Toc136865146"/>
      <w:bookmarkStart w:id="83" w:name="_Toc136874694"/>
      <w:bookmarkStart w:id="84" w:name="_Toc136898189"/>
      <w:bookmarkStart w:id="85" w:name="_Toc136898383"/>
      <w:bookmarkStart w:id="86" w:name="_Toc136935863"/>
      <w:bookmarkStart w:id="87" w:name="_Toc137638715"/>
      <w:bookmarkStart w:id="88" w:name="_Toc137638918"/>
      <w:bookmarkStart w:id="89" w:name="_Toc136847337"/>
      <w:bookmarkStart w:id="90" w:name="_Toc136865147"/>
      <w:bookmarkStart w:id="91" w:name="_Toc136874695"/>
      <w:bookmarkStart w:id="92" w:name="_Toc136898190"/>
      <w:bookmarkStart w:id="93" w:name="_Toc136898384"/>
      <w:bookmarkStart w:id="94" w:name="_Toc136935864"/>
      <w:bookmarkStart w:id="95" w:name="_Toc137638716"/>
      <w:bookmarkStart w:id="96" w:name="_Toc137638919"/>
      <w:bookmarkStart w:id="97" w:name="_Toc136847338"/>
      <w:bookmarkStart w:id="98" w:name="_Toc136865148"/>
      <w:bookmarkStart w:id="99" w:name="_Toc136874696"/>
      <w:bookmarkStart w:id="100" w:name="_Toc136898191"/>
      <w:bookmarkStart w:id="101" w:name="_Toc136898385"/>
      <w:bookmarkStart w:id="102" w:name="_Toc136935865"/>
      <w:bookmarkStart w:id="103" w:name="_Toc137638717"/>
      <w:bookmarkStart w:id="104" w:name="_Toc137638920"/>
      <w:bookmarkStart w:id="105" w:name="_Toc14025171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lastRenderedPageBreak/>
        <w:t>H</w:t>
      </w:r>
      <w:r w:rsidR="006F748E">
        <w:t xml:space="preserve">ow to make a </w:t>
      </w:r>
      <w:r w:rsidR="00E84E58">
        <w:t xml:space="preserve">report </w:t>
      </w:r>
      <w:r w:rsidR="00507618">
        <w:t>of serious wrongdoing</w:t>
      </w:r>
      <w:bookmarkEnd w:id="105"/>
    </w:p>
    <w:p w14:paraId="3DC0D2E8" w14:textId="6F7F9CF4" w:rsidR="00E2214A" w:rsidRDefault="00E84E58" w:rsidP="00E3369E">
      <w:pPr>
        <w:pStyle w:val="Heading3"/>
        <w:numPr>
          <w:ilvl w:val="0"/>
          <w:numId w:val="14"/>
        </w:numPr>
        <w:ind w:left="567" w:hanging="567"/>
      </w:pPr>
      <w:bookmarkStart w:id="106" w:name="_Toc140251716"/>
      <w:r>
        <w:t>Reports</w:t>
      </w:r>
      <w:r w:rsidR="00ED6446">
        <w:t>, complaints and grievances</w:t>
      </w:r>
      <w:bookmarkEnd w:id="106"/>
    </w:p>
    <w:p w14:paraId="6D2A0448" w14:textId="274D6E40" w:rsidR="004B5110" w:rsidRPr="003E2D15" w:rsidRDefault="004B5110" w:rsidP="003E2D15">
      <w:pPr>
        <w:pStyle w:val="BodyText"/>
        <w:rPr>
          <w:rStyle w:val="normaltextrun"/>
        </w:rPr>
      </w:pPr>
      <w:r w:rsidRPr="003E2D15">
        <w:rPr>
          <w:rStyle w:val="normaltextrun"/>
        </w:rPr>
        <w:t>When a public official reports suspected or possible wrongdoing in the public sector, their report will be a PID if it has certain features which are set out in the PID Act.</w:t>
      </w:r>
    </w:p>
    <w:p w14:paraId="358E6C71" w14:textId="608B63DE" w:rsidR="004B5110" w:rsidRPr="003E2D15" w:rsidRDefault="004B5110" w:rsidP="003E2D15">
      <w:pPr>
        <w:pStyle w:val="BodyText"/>
        <w:rPr>
          <w:rStyle w:val="normaltextrun"/>
        </w:rPr>
      </w:pPr>
      <w:r w:rsidRPr="003E2D15">
        <w:rPr>
          <w:rStyle w:val="normaltextrun"/>
        </w:rPr>
        <w:t>Some</w:t>
      </w:r>
      <w:r w:rsidR="00AE552A" w:rsidRPr="003E2D15">
        <w:rPr>
          <w:rStyle w:val="normaltextrun"/>
        </w:rPr>
        <w:t xml:space="preserve"> internal</w:t>
      </w:r>
      <w:r w:rsidRPr="003E2D15">
        <w:rPr>
          <w:rStyle w:val="normaltextrun"/>
        </w:rPr>
        <w:t xml:space="preserve"> complaints or internal grievances may also be PIDs</w:t>
      </w:r>
      <w:r w:rsidR="00AE552A" w:rsidRPr="003E2D15">
        <w:rPr>
          <w:rStyle w:val="normaltextrun"/>
        </w:rPr>
        <w:t xml:space="preserve">, as long as they have the features of a PID. </w:t>
      </w:r>
      <w:r w:rsidR="007B665C" w:rsidRPr="003E2D15">
        <w:rPr>
          <w:rStyle w:val="normaltextrun"/>
        </w:rPr>
        <w:t xml:space="preserve">If an internal </w:t>
      </w:r>
      <w:r w:rsidR="00310327" w:rsidRPr="003E2D15">
        <w:rPr>
          <w:rStyle w:val="normaltextrun"/>
        </w:rPr>
        <w:t>complaint or grievance is a report of serious wrongdoing, we will consider whether it is a PID. If it is a PID, we will deal with it as set out in this policy</w:t>
      </w:r>
      <w:r w:rsidR="00CF75DD" w:rsidRPr="003E2D15">
        <w:rPr>
          <w:rStyle w:val="normaltextrun"/>
        </w:rPr>
        <w:t>,</w:t>
      </w:r>
      <w:r w:rsidR="00310327" w:rsidRPr="003E2D15">
        <w:rPr>
          <w:rStyle w:val="normaltextrun"/>
        </w:rPr>
        <w:t xml:space="preserve"> but we will also make sure we follow our </w:t>
      </w:r>
      <w:r w:rsidR="00CD3964" w:rsidRPr="003E2D15">
        <w:rPr>
          <w:rStyle w:val="normaltextrun"/>
        </w:rPr>
        <w:t>[</w:t>
      </w:r>
      <w:r w:rsidR="00310327" w:rsidRPr="003E2D15">
        <w:rPr>
          <w:rStyle w:val="normaltextrun"/>
        </w:rPr>
        <w:t xml:space="preserve">name of </w:t>
      </w:r>
      <w:r w:rsidR="00CF1F52" w:rsidRPr="003E2D15">
        <w:rPr>
          <w:rStyle w:val="normaltextrun"/>
        </w:rPr>
        <w:t>relevant policies].</w:t>
      </w:r>
    </w:p>
    <w:p w14:paraId="0C0841B5" w14:textId="5E831496" w:rsidR="00547E65" w:rsidRPr="003E2D15" w:rsidRDefault="00CF1F52" w:rsidP="003E2D15">
      <w:pPr>
        <w:pStyle w:val="BodyText"/>
        <w:rPr>
          <w:rStyle w:val="normaltextrun"/>
        </w:rPr>
      </w:pPr>
      <w:r w:rsidRPr="003E2D15">
        <w:rPr>
          <w:rStyle w:val="normaltextrun"/>
        </w:rPr>
        <w:t xml:space="preserve">It is important that we </w:t>
      </w:r>
      <w:r w:rsidR="00AF6715" w:rsidRPr="003E2D15">
        <w:rPr>
          <w:rStyle w:val="normaltextrun"/>
        </w:rPr>
        <w:t xml:space="preserve">quickly recognise that we have received a PID. This is </w:t>
      </w:r>
      <w:r w:rsidR="009C0694" w:rsidRPr="003E2D15">
        <w:rPr>
          <w:rStyle w:val="normaltextrun"/>
        </w:rPr>
        <w:t xml:space="preserve">because once a PID is received, the person who has made the report is entitled to certain protections and we have certain decisions that we have to make </w:t>
      </w:r>
      <w:r w:rsidR="006B6135" w:rsidRPr="003E2D15">
        <w:rPr>
          <w:rStyle w:val="normaltextrun"/>
        </w:rPr>
        <w:t>on how we will deal with the PID and how we will protect and support the person who has made the report.</w:t>
      </w: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547E65" w14:paraId="42EF62AC" w14:textId="77777777" w:rsidTr="009F4B22">
        <w:tc>
          <w:tcPr>
            <w:tcW w:w="9060" w:type="dxa"/>
            <w:shd w:val="clear" w:color="auto" w:fill="CEDDD4"/>
          </w:tcPr>
          <w:p w14:paraId="7655E588" w14:textId="3F0AD20F" w:rsidR="00547E65" w:rsidRDefault="00E158EA" w:rsidP="005E54EC">
            <w:pPr>
              <w:pStyle w:val="Notestyle"/>
            </w:pPr>
            <w:r w:rsidRPr="001036E3">
              <w:rPr>
                <w:b/>
                <w:iCs w:val="0"/>
              </w:rPr>
              <w:t>Guidance</w:t>
            </w:r>
            <w:r w:rsidR="00547E65" w:rsidRPr="0093701F">
              <w:t>:</w:t>
            </w:r>
            <w:r w:rsidR="00547E65" w:rsidRPr="00CF75DD">
              <w:t xml:space="preserve"> </w:t>
            </w:r>
            <w:r w:rsidR="00547E65">
              <w:t xml:space="preserve">This </w:t>
            </w:r>
            <w:r w:rsidR="00547E65" w:rsidRPr="005E54EC">
              <w:t>section</w:t>
            </w:r>
            <w:r w:rsidR="00547E65">
              <w:t xml:space="preserve"> is an opportunity for agencies to provide the following information which is relevant to the agency:</w:t>
            </w:r>
          </w:p>
          <w:p w14:paraId="5853941B" w14:textId="76586EFD" w:rsidR="00547E65" w:rsidRDefault="008956FF" w:rsidP="005E54EC">
            <w:pPr>
              <w:pStyle w:val="notestylebullets"/>
            </w:pPr>
            <w:r>
              <w:t>g</w:t>
            </w:r>
            <w:r w:rsidR="00547E65">
              <w:t>eneral information about how it deals with complaints, internal grievances and other misconduct matters</w:t>
            </w:r>
          </w:p>
          <w:p w14:paraId="1965B9D6" w14:textId="4FF980D7" w:rsidR="00547E65" w:rsidRDefault="008956FF" w:rsidP="005E54EC">
            <w:pPr>
              <w:pStyle w:val="notestylebullets"/>
            </w:pPr>
            <w:r>
              <w:t>t</w:t>
            </w:r>
            <w:r w:rsidR="00547E65">
              <w:t xml:space="preserve">hat staff should report all wrongdoing and misconduct, not only reports of serious wrongdoing as defined under the </w:t>
            </w:r>
            <w:r>
              <w:t xml:space="preserve">PID </w:t>
            </w:r>
            <w:r w:rsidR="00547E65">
              <w:t>Act, and that the agency will deal with these appropriately even if they are not a PID</w:t>
            </w:r>
          </w:p>
          <w:p w14:paraId="6E96FB0A" w14:textId="284270AF" w:rsidR="00547E65" w:rsidRDefault="008956FF" w:rsidP="005E54EC">
            <w:pPr>
              <w:pStyle w:val="notestylebullets"/>
            </w:pPr>
            <w:r>
              <w:t>t</w:t>
            </w:r>
            <w:r w:rsidR="00547E65">
              <w:t>hat a complaint or a grievance may also be a PID</w:t>
            </w:r>
          </w:p>
          <w:p w14:paraId="02BDB5AD" w14:textId="17E9B7CD" w:rsidR="00547E65" w:rsidRPr="00BD2201" w:rsidRDefault="008956FF" w:rsidP="005E54EC">
            <w:pPr>
              <w:pStyle w:val="notestylebullets"/>
              <w:spacing w:after="240"/>
              <w:ind w:left="590" w:hanging="284"/>
              <w:rPr>
                <w:rStyle w:val="normaltextrun"/>
                <w:rFonts w:ascii="Arial" w:hAnsi="Arial" w:cs="Arial"/>
              </w:rPr>
            </w:pPr>
            <w:r>
              <w:t>t</w:t>
            </w:r>
            <w:r w:rsidR="00547E65" w:rsidRPr="006E6E31">
              <w:t>he avenues to report all types of wrongdoing and misconduct within the agency</w:t>
            </w:r>
            <w:r w:rsidR="00801B94">
              <w:t>.</w:t>
            </w:r>
            <w:r w:rsidR="00547E65" w:rsidRPr="006E6E31">
              <w:t xml:space="preserve"> </w:t>
            </w:r>
          </w:p>
        </w:tc>
      </w:tr>
    </w:tbl>
    <w:p w14:paraId="1616F5E8" w14:textId="77777777" w:rsidR="00AC6255" w:rsidRDefault="00AC6255" w:rsidP="004B5110">
      <w:pPr>
        <w:pStyle w:val="paragraph"/>
        <w:spacing w:before="0" w:beforeAutospacing="0" w:after="0" w:afterAutospacing="0"/>
        <w:textAlignment w:val="baseline"/>
        <w:rPr>
          <w:rStyle w:val="normaltextrun"/>
          <w:rFonts w:ascii="Arial" w:hAnsi="Arial" w:cs="Arial"/>
          <w:sz w:val="21"/>
          <w:szCs w:val="21"/>
        </w:rPr>
      </w:pPr>
    </w:p>
    <w:p w14:paraId="6A4652E1" w14:textId="3EF77808" w:rsidR="00F569BB" w:rsidRDefault="00745B54" w:rsidP="000A6B30">
      <w:pPr>
        <w:pStyle w:val="Heading3"/>
        <w:ind w:left="567" w:hanging="567"/>
      </w:pPr>
      <w:bookmarkStart w:id="107" w:name="_Toc136847341"/>
      <w:bookmarkStart w:id="108" w:name="_Toc136865151"/>
      <w:bookmarkStart w:id="109" w:name="_Toc136874699"/>
      <w:bookmarkStart w:id="110" w:name="_Toc136898194"/>
      <w:bookmarkStart w:id="111" w:name="_Toc136898388"/>
      <w:bookmarkStart w:id="112" w:name="_Toc136935868"/>
      <w:bookmarkStart w:id="113" w:name="_Toc137638720"/>
      <w:bookmarkStart w:id="114" w:name="_Toc137638923"/>
      <w:bookmarkStart w:id="115" w:name="_Toc136847342"/>
      <w:bookmarkStart w:id="116" w:name="_Toc136865152"/>
      <w:bookmarkStart w:id="117" w:name="_Toc136874700"/>
      <w:bookmarkStart w:id="118" w:name="_Toc136898195"/>
      <w:bookmarkStart w:id="119" w:name="_Toc136898389"/>
      <w:bookmarkStart w:id="120" w:name="_Toc136935869"/>
      <w:bookmarkStart w:id="121" w:name="_Toc137638721"/>
      <w:bookmarkStart w:id="122" w:name="_Toc137638924"/>
      <w:bookmarkStart w:id="123" w:name="_Toc14025171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(b)</w:t>
      </w:r>
      <w:r>
        <w:tab/>
      </w:r>
      <w:r w:rsidR="00F569BB">
        <w:t>When will a report be a PID?</w:t>
      </w:r>
      <w:bookmarkEnd w:id="123"/>
    </w:p>
    <w:p w14:paraId="27F64730" w14:textId="08890D54" w:rsidR="00E078CE" w:rsidRPr="00745B54" w:rsidRDefault="00E078CE" w:rsidP="00745B54">
      <w:pPr>
        <w:pStyle w:val="BodyText"/>
      </w:pPr>
      <w:r w:rsidRPr="00745B54">
        <w:rPr>
          <w:rStyle w:val="normaltextrun"/>
        </w:rPr>
        <w:t xml:space="preserve">There are </w:t>
      </w:r>
      <w:r w:rsidR="008956FF" w:rsidRPr="00745B54">
        <w:rPr>
          <w:rStyle w:val="normaltextrun"/>
        </w:rPr>
        <w:t>three</w:t>
      </w:r>
      <w:r w:rsidRPr="00745B54">
        <w:rPr>
          <w:rStyle w:val="normaltextrun"/>
        </w:rPr>
        <w:t xml:space="preserve"> types of PIDs in the PID Act. These are:</w:t>
      </w:r>
      <w:r w:rsidRPr="00745B54">
        <w:rPr>
          <w:rStyle w:val="eop"/>
        </w:rPr>
        <w:t> </w:t>
      </w:r>
    </w:p>
    <w:p w14:paraId="6A247829" w14:textId="6F8D45CD" w:rsidR="00E078CE" w:rsidRPr="005E54EC" w:rsidRDefault="00E078CE" w:rsidP="00E3369E">
      <w:pPr>
        <w:pStyle w:val="BodyText"/>
        <w:numPr>
          <w:ilvl w:val="0"/>
          <w:numId w:val="10"/>
        </w:numPr>
        <w:rPr>
          <w:rFonts w:asciiTheme="minorHAnsi" w:hAnsiTheme="minorHAnsi" w:cstheme="minorHAnsi"/>
        </w:rPr>
      </w:pPr>
      <w:r w:rsidRPr="005E54EC">
        <w:rPr>
          <w:rStyle w:val="normaltextrun"/>
          <w:rFonts w:asciiTheme="minorHAnsi" w:hAnsiTheme="minorHAnsi" w:cstheme="minorHAnsi"/>
          <w:i/>
          <w:iCs/>
        </w:rPr>
        <w:t>Voluntary PID</w:t>
      </w:r>
      <w:r w:rsidRPr="005E54EC">
        <w:rPr>
          <w:rStyle w:val="normaltextrun"/>
          <w:rFonts w:asciiTheme="minorHAnsi" w:hAnsiTheme="minorHAnsi" w:cstheme="minorHAnsi"/>
        </w:rPr>
        <w:t xml:space="preserve">: This is a PID where </w:t>
      </w:r>
      <w:r w:rsidR="00071DAF" w:rsidRPr="005E54EC">
        <w:rPr>
          <w:rStyle w:val="normaltextrun"/>
          <w:rFonts w:asciiTheme="minorHAnsi" w:hAnsiTheme="minorHAnsi" w:cstheme="minorHAnsi"/>
        </w:rPr>
        <w:t xml:space="preserve">a </w:t>
      </w:r>
      <w:r w:rsidRPr="005E54EC">
        <w:rPr>
          <w:rStyle w:val="normaltextrun"/>
          <w:rFonts w:asciiTheme="minorHAnsi" w:hAnsiTheme="minorHAnsi" w:cstheme="minorHAnsi"/>
        </w:rPr>
        <w:t>report has been made by the public official because they decided, of their own accord, to come forward and disclose what they know.</w:t>
      </w:r>
    </w:p>
    <w:p w14:paraId="68D1F899" w14:textId="06176E29" w:rsidR="005C7CA7" w:rsidRPr="005E54EC" w:rsidRDefault="00E078CE" w:rsidP="00E3369E">
      <w:pPr>
        <w:pStyle w:val="BodyText"/>
        <w:numPr>
          <w:ilvl w:val="0"/>
          <w:numId w:val="10"/>
        </w:numPr>
        <w:rPr>
          <w:rFonts w:asciiTheme="minorHAnsi" w:hAnsiTheme="minorHAnsi" w:cstheme="minorHAnsi"/>
        </w:rPr>
      </w:pPr>
      <w:r w:rsidRPr="005E54EC">
        <w:rPr>
          <w:rStyle w:val="normaltextrun"/>
          <w:rFonts w:asciiTheme="minorHAnsi" w:hAnsiTheme="minorHAnsi" w:cstheme="minorHAnsi"/>
          <w:i/>
          <w:iCs/>
        </w:rPr>
        <w:t>Mandatory PID</w:t>
      </w:r>
      <w:r w:rsidRPr="005E54EC">
        <w:rPr>
          <w:rStyle w:val="normaltextrun"/>
          <w:rFonts w:asciiTheme="minorHAnsi" w:hAnsiTheme="minorHAnsi" w:cstheme="minorHAnsi"/>
        </w:rPr>
        <w:t xml:space="preserve">: This is a PID where the public official has made </w:t>
      </w:r>
      <w:r w:rsidR="00071DAF" w:rsidRPr="005E54EC">
        <w:rPr>
          <w:rStyle w:val="normaltextrun"/>
          <w:rFonts w:asciiTheme="minorHAnsi" w:hAnsiTheme="minorHAnsi" w:cstheme="minorHAnsi"/>
        </w:rPr>
        <w:t xml:space="preserve">a </w:t>
      </w:r>
      <w:r w:rsidRPr="005E54EC">
        <w:rPr>
          <w:rStyle w:val="normaltextrun"/>
          <w:rFonts w:asciiTheme="minorHAnsi" w:hAnsiTheme="minorHAnsi" w:cstheme="minorHAnsi"/>
        </w:rPr>
        <w:t>report about serious wrongdoing because they have a legal obligation to make that report, or because making that report is an ordinary aspect of their role or function in an agency.</w:t>
      </w:r>
    </w:p>
    <w:p w14:paraId="2C26A9C2" w14:textId="4462ACDD" w:rsidR="00E078CE" w:rsidRPr="005E54EC" w:rsidRDefault="00E078CE" w:rsidP="00E3369E">
      <w:pPr>
        <w:pStyle w:val="BodyText"/>
        <w:numPr>
          <w:ilvl w:val="0"/>
          <w:numId w:val="10"/>
        </w:numPr>
        <w:rPr>
          <w:rFonts w:asciiTheme="minorHAnsi" w:hAnsiTheme="minorHAnsi" w:cstheme="minorHAnsi"/>
        </w:rPr>
      </w:pPr>
      <w:r w:rsidRPr="005E54EC">
        <w:rPr>
          <w:rStyle w:val="normaltextrun"/>
          <w:rFonts w:asciiTheme="minorHAnsi" w:hAnsiTheme="minorHAnsi" w:cstheme="minorHAnsi"/>
          <w:i/>
          <w:iCs/>
        </w:rPr>
        <w:t>Witness PID</w:t>
      </w:r>
      <w:r w:rsidR="005C7CA7" w:rsidRPr="005E54EC">
        <w:rPr>
          <w:rStyle w:val="normaltextrun"/>
          <w:rFonts w:asciiTheme="minorHAnsi" w:hAnsiTheme="minorHAnsi" w:cstheme="minorHAnsi"/>
        </w:rPr>
        <w:t xml:space="preserve">: </w:t>
      </w:r>
      <w:r w:rsidRPr="005E54EC">
        <w:rPr>
          <w:rStyle w:val="normaltextrun"/>
          <w:rFonts w:asciiTheme="minorHAnsi" w:hAnsiTheme="minorHAnsi" w:cstheme="minorHAnsi"/>
        </w:rPr>
        <w:t xml:space="preserve">This is a PID where a person discloses information </w:t>
      </w:r>
      <w:r w:rsidR="00D62B9C" w:rsidRPr="005E54EC">
        <w:rPr>
          <w:rStyle w:val="normaltextrun"/>
          <w:rFonts w:asciiTheme="minorHAnsi" w:hAnsiTheme="minorHAnsi" w:cstheme="minorHAnsi"/>
        </w:rPr>
        <w:t>during</w:t>
      </w:r>
      <w:r w:rsidRPr="005E54EC">
        <w:rPr>
          <w:rStyle w:val="normaltextrun"/>
          <w:rFonts w:asciiTheme="minorHAnsi" w:hAnsiTheme="minorHAnsi" w:cstheme="minorHAnsi"/>
        </w:rPr>
        <w:t xml:space="preserve"> an investigation of serious wrongdoing following a request or requirement of the investigator.</w:t>
      </w:r>
    </w:p>
    <w:p w14:paraId="3813F39A" w14:textId="456F4B3B" w:rsidR="00720D70" w:rsidRDefault="005C7CA7" w:rsidP="005E54EC">
      <w:pPr>
        <w:pStyle w:val="BodyText"/>
      </w:pPr>
      <w:r w:rsidRPr="00833509">
        <w:t>This policy</w:t>
      </w:r>
      <w:r w:rsidR="007C1FE3" w:rsidRPr="00833509">
        <w:t xml:space="preserve"> mostly</w:t>
      </w:r>
      <w:r w:rsidRPr="00833509">
        <w:t xml:space="preserve"> relates to making a voluntary PID and how we will deal with voluntary PIDs. </w:t>
      </w:r>
      <w:r w:rsidR="007C1FE3" w:rsidRPr="00833509">
        <w:t xml:space="preserve">People who </w:t>
      </w:r>
      <w:r w:rsidR="00D62B9C">
        <w:t>make</w:t>
      </w:r>
      <w:r w:rsidR="007C1FE3" w:rsidRPr="00833509">
        <w:t xml:space="preserve"> a mandatory PID or a witness PID are still entitled to protection. </w:t>
      </w:r>
      <w:r w:rsidR="00C87B0E" w:rsidRPr="00833509">
        <w:t xml:space="preserve">More information about protections is available in </w:t>
      </w:r>
      <w:r w:rsidR="001B7383">
        <w:t xml:space="preserve">section 2 </w:t>
      </w:r>
      <w:r w:rsidR="00C87B0E" w:rsidRPr="00833509">
        <w:t>of this policy</w:t>
      </w:r>
      <w:r w:rsidR="00C87B0E">
        <w:t>.</w:t>
      </w:r>
    </w:p>
    <w:p w14:paraId="730B6C96" w14:textId="3589D24A" w:rsidR="003744DC" w:rsidRDefault="00720D70" w:rsidP="005E54EC">
      <w:pPr>
        <w:pStyle w:val="BodyText"/>
      </w:pPr>
      <w:r w:rsidRPr="00833509">
        <w:t xml:space="preserve">You can find more </w:t>
      </w:r>
      <w:r w:rsidR="00422605" w:rsidRPr="00833509">
        <w:t>information</w:t>
      </w:r>
      <w:r w:rsidRPr="00833509">
        <w:t xml:space="preserve"> about mandatory and witness PID</w:t>
      </w:r>
      <w:r w:rsidR="00963342" w:rsidRPr="000A7D1A">
        <w:t>s</w:t>
      </w:r>
      <w:r w:rsidRPr="00833509">
        <w:t xml:space="preserve"> </w:t>
      </w:r>
      <w:r w:rsidR="00963342" w:rsidRPr="000A7D1A">
        <w:t xml:space="preserve">in the </w:t>
      </w:r>
      <w:r w:rsidR="00317C1E">
        <w:t>Ombudsman’s guidelines</w:t>
      </w:r>
      <w:r w:rsidR="00230082">
        <w:t xml:space="preserve"> </w:t>
      </w:r>
      <w:r w:rsidR="00C24BF4">
        <w:t>‘</w:t>
      </w:r>
      <w:r w:rsidR="00E47A3E" w:rsidRPr="00833509">
        <w:t>Dealing with mandatory PIDs</w:t>
      </w:r>
      <w:r w:rsidR="00C24BF4">
        <w:t>’</w:t>
      </w:r>
      <w:r w:rsidR="00E47A3E" w:rsidRPr="00833509">
        <w:t xml:space="preserve"> and </w:t>
      </w:r>
      <w:r w:rsidR="00C24BF4">
        <w:t>‘</w:t>
      </w:r>
      <w:r w:rsidR="00E47A3E" w:rsidRPr="00833509">
        <w:t xml:space="preserve">Dealing with </w:t>
      </w:r>
      <w:r w:rsidR="003D4C09" w:rsidRPr="00833509">
        <w:t xml:space="preserve">witness </w:t>
      </w:r>
      <w:r w:rsidR="00E47A3E" w:rsidRPr="00833509">
        <w:t>PIDs</w:t>
      </w:r>
      <w:r w:rsidR="00C24BF4">
        <w:t>’</w:t>
      </w:r>
      <w:r w:rsidR="00E47A3E" w:rsidRPr="00833509">
        <w:t>.</w:t>
      </w:r>
      <w:r w:rsidR="003744DC">
        <w:br w:type="page"/>
      </w:r>
    </w:p>
    <w:p w14:paraId="4964BDB9" w14:textId="77777777" w:rsidR="00547E65" w:rsidRDefault="00547E65" w:rsidP="00F569BB">
      <w:pPr>
        <w:rPr>
          <w:rFonts w:ascii="Arial" w:hAnsi="Arial" w:cs="Arial"/>
        </w:rPr>
      </w:pPr>
    </w:p>
    <w:tbl>
      <w:tblPr>
        <w:tblStyle w:val="TableGrid"/>
        <w:tblW w:w="0" w:type="auto"/>
        <w:tblBorders>
          <w:top w:val="single" w:sz="4" w:space="0" w:color="0A4047"/>
          <w:left w:val="single" w:sz="4" w:space="0" w:color="0A4047"/>
          <w:bottom w:val="single" w:sz="4" w:space="0" w:color="0A4047"/>
          <w:right w:val="single" w:sz="4" w:space="0" w:color="0A4047"/>
        </w:tblBorders>
        <w:shd w:val="clear" w:color="auto" w:fill="CEDDD4"/>
        <w:tblLook w:val="04A0" w:firstRow="1" w:lastRow="0" w:firstColumn="1" w:lastColumn="0" w:noHBand="0" w:noVBand="1"/>
      </w:tblPr>
      <w:tblGrid>
        <w:gridCol w:w="8898"/>
      </w:tblGrid>
      <w:tr w:rsidR="00547E65" w14:paraId="56D13A88" w14:textId="77777777" w:rsidTr="003E2D15">
        <w:tc>
          <w:tcPr>
            <w:tcW w:w="9060" w:type="dxa"/>
            <w:shd w:val="clear" w:color="auto" w:fill="CEDDD4"/>
          </w:tcPr>
          <w:p w14:paraId="26C43E9D" w14:textId="1D76925A" w:rsidR="00547E65" w:rsidRPr="00547E65" w:rsidRDefault="000A7D1A" w:rsidP="003E2D15">
            <w:pPr>
              <w:pStyle w:val="Notestyle"/>
            </w:pPr>
            <w:r w:rsidRPr="001036E3">
              <w:rPr>
                <w:b/>
                <w:iCs w:val="0"/>
              </w:rPr>
              <w:t>Guidance</w:t>
            </w:r>
            <w:r w:rsidR="00547E65" w:rsidRPr="001036E3">
              <w:rPr>
                <w:iCs w:val="0"/>
              </w:rPr>
              <w:t>:</w:t>
            </w:r>
            <w:r w:rsidR="00547E65" w:rsidRPr="00547E65">
              <w:rPr>
                <w:b/>
              </w:rPr>
              <w:t xml:space="preserve"> </w:t>
            </w:r>
            <w:r w:rsidR="00547E65" w:rsidRPr="00547E65">
              <w:t>Some agencies are more likely than others to receive mandatory PIDs, particularly if they have staff with certain legal obligations to report serious wrongdoing. Those agencies can include further information here about how mandatory PIDs will be dealt with and/or link to other relevant policies and legislative provisions.</w:t>
            </w:r>
          </w:p>
          <w:p w14:paraId="51A2D4E4" w14:textId="4C058D5B" w:rsidR="00547E65" w:rsidRPr="00547E65" w:rsidRDefault="00547E65" w:rsidP="003E2D15">
            <w:pPr>
              <w:pStyle w:val="Notestyle"/>
            </w:pPr>
            <w:r w:rsidRPr="00547E65">
              <w:t xml:space="preserve">Agencies can also choose to </w:t>
            </w:r>
            <w:r w:rsidR="001F6158">
              <w:t>include</w:t>
            </w:r>
            <w:r w:rsidR="001F6158" w:rsidRPr="00547E65">
              <w:t xml:space="preserve"> </w:t>
            </w:r>
            <w:r w:rsidRPr="00547E65">
              <w:t>some information on how they will generally deal with witness PIDs or reference any policies they have regarding conducting internal investigations.</w:t>
            </w:r>
          </w:p>
          <w:p w14:paraId="5F08271C" w14:textId="77777777" w:rsidR="00547E65" w:rsidRDefault="00547E65" w:rsidP="00F569BB">
            <w:pPr>
              <w:rPr>
                <w:rFonts w:ascii="Arial" w:hAnsi="Arial" w:cs="Arial"/>
              </w:rPr>
            </w:pPr>
          </w:p>
        </w:tc>
      </w:tr>
    </w:tbl>
    <w:p w14:paraId="2B26C69B" w14:textId="190EB6AC" w:rsidR="002A0765" w:rsidRPr="002A0765" w:rsidRDefault="002A0765" w:rsidP="00F52DF5"/>
    <w:p w14:paraId="03B86A81" w14:textId="38D24015" w:rsidR="000F3BBD" w:rsidRPr="003E2D15" w:rsidRDefault="000F3BBD" w:rsidP="003E2D15">
      <w:pPr>
        <w:pStyle w:val="BodyText"/>
      </w:pPr>
      <w:r w:rsidRPr="003E2D15">
        <w:rPr>
          <w:rStyle w:val="normaltextrun"/>
        </w:rPr>
        <w:t>Voluntary PIDs are the kind of PIDs most people have in mind when they think about public interest reporting and ‘whistleblowing’.</w:t>
      </w:r>
    </w:p>
    <w:p w14:paraId="6A986215" w14:textId="05160534" w:rsidR="000F3BBD" w:rsidRPr="003E2D15" w:rsidRDefault="000F3BBD" w:rsidP="003E2D15">
      <w:pPr>
        <w:pStyle w:val="BodyText"/>
      </w:pPr>
      <w:r w:rsidRPr="003E2D15">
        <w:rPr>
          <w:rStyle w:val="normaltextrun"/>
        </w:rPr>
        <w:t>They involve a public official making a report because they have information that they believe shows (or tends to show) serious wrongdoing, where they are not under a legal obligation to make that report and where it is not an ordinary part of their role to report such wrongdoing.</w:t>
      </w:r>
    </w:p>
    <w:p w14:paraId="52002F7D" w14:textId="5038C942" w:rsidR="00BD2201" w:rsidRPr="008B4E3A" w:rsidRDefault="000F3BBD" w:rsidP="008B4E3A">
      <w:pPr>
        <w:pStyle w:val="BodyText"/>
        <w:rPr>
          <w:rStyle w:val="eop"/>
        </w:rPr>
      </w:pPr>
      <w:r w:rsidRPr="003E2D15">
        <w:rPr>
          <w:rStyle w:val="normaltextrun"/>
        </w:rPr>
        <w:t>A report is a voluntary PID if it has the following five features</w:t>
      </w:r>
      <w:r w:rsidR="00E10A77" w:rsidRPr="003E2D15">
        <w:rPr>
          <w:rStyle w:val="normaltextrun"/>
        </w:rPr>
        <w:t>, whic</w:t>
      </w:r>
      <w:r w:rsidR="009817AA" w:rsidRPr="003E2D15">
        <w:rPr>
          <w:rStyle w:val="normaltextrun"/>
        </w:rPr>
        <w:t>h are</w:t>
      </w:r>
      <w:r w:rsidRPr="003E2D15">
        <w:rPr>
          <w:rStyle w:val="normaltextrun"/>
        </w:rPr>
        <w:t xml:space="preserve"> set out in sections 24 to 27 of the PID Act:</w:t>
      </w:r>
    </w:p>
    <w:p w14:paraId="4B364AC7" w14:textId="1CA37E8B" w:rsidR="00BD2201" w:rsidRDefault="008B4E3A" w:rsidP="000F3BBD">
      <w:pPr>
        <w:pStyle w:val="paragraph"/>
        <w:spacing w:before="0" w:beforeAutospacing="0" w:after="0" w:afterAutospacing="0"/>
        <w:textAlignment w:val="baseline"/>
        <w:rPr>
          <w:rStyle w:val="eop"/>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7C367BBB" wp14:editId="459E72BC">
                <wp:simplePos x="0" y="0"/>
                <wp:positionH relativeFrom="column">
                  <wp:posOffset>993140</wp:posOffset>
                </wp:positionH>
                <wp:positionV relativeFrom="paragraph">
                  <wp:posOffset>125095</wp:posOffset>
                </wp:positionV>
                <wp:extent cx="977265" cy="1195070"/>
                <wp:effectExtent l="38100" t="38100" r="89535" b="100330"/>
                <wp:wrapNone/>
                <wp:docPr id="258264266" name="Rectangle: Rounded Corners 258264266"/>
                <wp:cNvGraphicFramePr/>
                <a:graphic xmlns:a="http://schemas.openxmlformats.org/drawingml/2006/main">
                  <a:graphicData uri="http://schemas.microsoft.com/office/word/2010/wordprocessingShape">
                    <wps:wsp>
                      <wps:cNvSpPr/>
                      <wps:spPr>
                        <a:xfrm>
                          <a:off x="0" y="0"/>
                          <a:ext cx="977265" cy="1195070"/>
                        </a:xfrm>
                        <a:prstGeom prst="roundRect">
                          <a:avLst/>
                        </a:prstGeom>
                        <a:solidFill>
                          <a:srgbClr val="0A4047"/>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AEAD0E" w14:textId="4162EDDD" w:rsidR="007E1E54" w:rsidRPr="008B4E3A" w:rsidRDefault="007E1E54" w:rsidP="007E1E54">
                            <w:pPr>
                              <w:jc w:val="center"/>
                              <w:rPr>
                                <w:rFonts w:asciiTheme="minorHAnsi" w:hAnsiTheme="minorHAnsi" w:cstheme="minorHAnsi"/>
                                <w:color w:val="FFFFFF" w:themeColor="background1"/>
                                <w:kern w:val="24"/>
                                <w:sz w:val="20"/>
                                <w:szCs w:val="20"/>
                                <w:lang w:val="en-US"/>
                              </w:rPr>
                            </w:pPr>
                            <w:r w:rsidRPr="008B4E3A">
                              <w:rPr>
                                <w:rFonts w:asciiTheme="minorHAnsi" w:hAnsiTheme="minorHAnsi" w:cstheme="minorHAnsi"/>
                                <w:b/>
                                <w:color w:val="FFFFFF" w:themeColor="background1"/>
                                <w:kern w:val="24"/>
                                <w:sz w:val="20"/>
                                <w:szCs w:val="20"/>
                                <w:lang w:val="en-US"/>
                              </w:rPr>
                              <w:t>2.</w:t>
                            </w:r>
                            <w:r w:rsidRPr="008B4E3A">
                              <w:rPr>
                                <w:rFonts w:asciiTheme="minorHAnsi" w:hAnsiTheme="minorHAnsi" w:cstheme="minorHAnsi"/>
                                <w:color w:val="FFFFFF" w:themeColor="background1"/>
                                <w:kern w:val="24"/>
                                <w:sz w:val="20"/>
                                <w:szCs w:val="20"/>
                                <w:lang w:val="en-US"/>
                              </w:rPr>
                              <w:t xml:space="preserve"> </w:t>
                            </w:r>
                            <w:r w:rsidR="00F750FF" w:rsidRPr="008B4E3A">
                              <w:rPr>
                                <w:rFonts w:asciiTheme="minorHAnsi" w:hAnsiTheme="minorHAnsi" w:cstheme="minorHAnsi"/>
                                <w:color w:val="FFFFFF" w:themeColor="background1"/>
                                <w:kern w:val="24"/>
                                <w:sz w:val="20"/>
                                <w:szCs w:val="20"/>
                                <w:lang w:val="en-US"/>
                              </w:rPr>
                              <w:t>It is m</w:t>
                            </w:r>
                            <w:r w:rsidR="00C26C6C" w:rsidRPr="008B4E3A">
                              <w:rPr>
                                <w:rFonts w:asciiTheme="minorHAnsi" w:hAnsiTheme="minorHAnsi" w:cstheme="minorHAnsi"/>
                                <w:color w:val="FFFFFF" w:themeColor="background1"/>
                                <w:kern w:val="24"/>
                                <w:sz w:val="20"/>
                                <w:szCs w:val="20"/>
                                <w:lang w:val="en-US"/>
                              </w:rPr>
                              <w:t xml:space="preserve">ade </w:t>
                            </w:r>
                            <w:r w:rsidRPr="008B4E3A">
                              <w:rPr>
                                <w:rFonts w:asciiTheme="minorHAnsi" w:hAnsiTheme="minorHAnsi" w:cstheme="minorHAnsi"/>
                                <w:color w:val="FFFFFF" w:themeColor="background1"/>
                                <w:kern w:val="24"/>
                                <w:sz w:val="20"/>
                                <w:szCs w:val="20"/>
                                <w:lang w:val="en-US"/>
                              </w:rPr>
                              <w:t xml:space="preserve">to a person who can receive voluntary PIDs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C367BBB" id="Rectangle: Rounded Corners 258264266" o:spid="_x0000_s1028" style="position:absolute;margin-left:78.2pt;margin-top:9.85pt;width:76.95pt;height:9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" fillcolor="#0a4047" stroked="f" strokeweight="2pt">
                <v:shadow on="t" color="black" opacity="26214f" origin="-.5,-.5" offset=".74836mm,.74836mm"/>
                <v:textbox>
                  <w:txbxContent>
                    <w:p w14:paraId="4EAEAD0E" w14:textId="4162EDDD" w:rsidR="007E1E54" w:rsidRPr="008B4E3A" w:rsidRDefault="007E1E54" w:rsidP="007E1E54">
                      <w:pPr>
                        <w:jc w:val="center"/>
                        <w:rPr>
                          <w:rFonts w:asciiTheme="minorHAnsi" w:hAnsiTheme="minorHAnsi" w:cstheme="minorHAnsi"/>
                          <w:color w:val="FFFFFF" w:themeColor="background1"/>
                          <w:kern w:val="24"/>
                          <w:sz w:val="20"/>
                          <w:szCs w:val="20"/>
                          <w:lang w:val="en-US"/>
                        </w:rPr>
                      </w:pPr>
                      <w:r w:rsidRPr="008B4E3A">
                        <w:rPr>
                          <w:rFonts w:asciiTheme="minorHAnsi" w:hAnsiTheme="minorHAnsi" w:cstheme="minorHAnsi"/>
                          <w:b/>
                          <w:color w:val="FFFFFF" w:themeColor="background1"/>
                          <w:kern w:val="24"/>
                          <w:sz w:val="20"/>
                          <w:szCs w:val="20"/>
                          <w:lang w:val="en-US"/>
                        </w:rPr>
                        <w:t>2.</w:t>
                      </w:r>
                      <w:r w:rsidRPr="008B4E3A">
                        <w:rPr>
                          <w:rFonts w:asciiTheme="minorHAnsi" w:hAnsiTheme="minorHAnsi" w:cstheme="minorHAnsi"/>
                          <w:color w:val="FFFFFF" w:themeColor="background1"/>
                          <w:kern w:val="24"/>
                          <w:sz w:val="20"/>
                          <w:szCs w:val="20"/>
                          <w:lang w:val="en-US"/>
                        </w:rPr>
                        <w:t xml:space="preserve"> </w:t>
                      </w:r>
                      <w:r w:rsidR="00F750FF" w:rsidRPr="008B4E3A">
                        <w:rPr>
                          <w:rFonts w:asciiTheme="minorHAnsi" w:hAnsiTheme="minorHAnsi" w:cstheme="minorHAnsi"/>
                          <w:color w:val="FFFFFF" w:themeColor="background1"/>
                          <w:kern w:val="24"/>
                          <w:sz w:val="20"/>
                          <w:szCs w:val="20"/>
                          <w:lang w:val="en-US"/>
                        </w:rPr>
                        <w:t>It is m</w:t>
                      </w:r>
                      <w:r w:rsidR="00C26C6C" w:rsidRPr="008B4E3A">
                        <w:rPr>
                          <w:rFonts w:asciiTheme="minorHAnsi" w:hAnsiTheme="minorHAnsi" w:cstheme="minorHAnsi"/>
                          <w:color w:val="FFFFFF" w:themeColor="background1"/>
                          <w:kern w:val="24"/>
                          <w:sz w:val="20"/>
                          <w:szCs w:val="20"/>
                          <w:lang w:val="en-US"/>
                        </w:rPr>
                        <w:t xml:space="preserve">ade </w:t>
                      </w:r>
                      <w:r w:rsidRPr="008B4E3A">
                        <w:rPr>
                          <w:rFonts w:asciiTheme="minorHAnsi" w:hAnsiTheme="minorHAnsi" w:cstheme="minorHAnsi"/>
                          <w:color w:val="FFFFFF" w:themeColor="background1"/>
                          <w:kern w:val="24"/>
                          <w:sz w:val="20"/>
                          <w:szCs w:val="20"/>
                          <w:lang w:val="en-US"/>
                        </w:rPr>
                        <w:t xml:space="preserve">to a person who can receive voluntary PIDs </w:t>
                      </w:r>
                    </w:p>
                  </w:txbxContent>
                </v:textbox>
              </v:roundrect>
            </w:pict>
          </mc:Fallback>
        </mc:AlternateContent>
      </w:r>
      <w:r>
        <w:rPr>
          <w:noProof/>
        </w:rPr>
        <mc:AlternateContent>
          <mc:Choice Requires="wps">
            <w:drawing>
              <wp:anchor distT="0" distB="0" distL="114300" distR="114300" simplePos="0" relativeHeight="251658241" behindDoc="0" locked="0" layoutInCell="1" allowOverlap="1" wp14:anchorId="6EFB9F2D" wp14:editId="176D677C">
                <wp:simplePos x="0" y="0"/>
                <wp:positionH relativeFrom="margin">
                  <wp:posOffset>2036283</wp:posOffset>
                </wp:positionH>
                <wp:positionV relativeFrom="paragraph">
                  <wp:posOffset>92710</wp:posOffset>
                </wp:positionV>
                <wp:extent cx="1504315" cy="1482090"/>
                <wp:effectExtent l="38100" t="38100" r="95885" b="99060"/>
                <wp:wrapNone/>
                <wp:docPr id="1019845572" name="Rectangle: Rounded Corners 1019845572"/>
                <wp:cNvGraphicFramePr/>
                <a:graphic xmlns:a="http://schemas.openxmlformats.org/drawingml/2006/main">
                  <a:graphicData uri="http://schemas.microsoft.com/office/word/2010/wordprocessingShape">
                    <wps:wsp>
                      <wps:cNvSpPr/>
                      <wps:spPr>
                        <a:xfrm>
                          <a:off x="0" y="0"/>
                          <a:ext cx="1504315" cy="1482090"/>
                        </a:xfrm>
                        <a:prstGeom prst="roundRect">
                          <a:avLst/>
                        </a:prstGeom>
                        <a:solidFill>
                          <a:srgbClr val="0A4047"/>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39183" w14:textId="43FFE810" w:rsidR="00237405" w:rsidRPr="008B4E3A" w:rsidRDefault="00237405" w:rsidP="00833509">
                            <w:pPr>
                              <w:jc w:val="center"/>
                              <w:rPr>
                                <w:rFonts w:cs="Calibri"/>
                                <w:color w:val="FFFFFF" w:themeColor="background1"/>
                                <w:kern w:val="24"/>
                                <w:sz w:val="20"/>
                                <w:szCs w:val="20"/>
                              </w:rPr>
                            </w:pPr>
                            <w:r w:rsidRPr="008B4E3A">
                              <w:rPr>
                                <w:rFonts w:cs="Calibri"/>
                                <w:b/>
                                <w:color w:val="FFFFFF" w:themeColor="background1"/>
                                <w:kern w:val="24"/>
                                <w:sz w:val="20"/>
                                <w:szCs w:val="20"/>
                              </w:rPr>
                              <w:t>3.</w:t>
                            </w:r>
                            <w:r w:rsidRPr="008B4E3A">
                              <w:rPr>
                                <w:rFonts w:cs="Calibri"/>
                                <w:color w:val="FFFFFF" w:themeColor="background1"/>
                                <w:kern w:val="24"/>
                                <w:sz w:val="20"/>
                                <w:szCs w:val="20"/>
                              </w:rPr>
                              <w:t xml:space="preserve"> </w:t>
                            </w:r>
                            <w:r w:rsidR="009B67BA" w:rsidRPr="008B4E3A">
                              <w:rPr>
                                <w:rFonts w:cs="Calibri"/>
                                <w:color w:val="FFFFFF" w:themeColor="background1"/>
                                <w:kern w:val="24"/>
                                <w:sz w:val="20"/>
                                <w:szCs w:val="20"/>
                              </w:rPr>
                              <w:t>T</w:t>
                            </w:r>
                            <w:r w:rsidRPr="008B4E3A">
                              <w:rPr>
                                <w:rFonts w:cs="Calibri"/>
                                <w:color w:val="FFFFFF" w:themeColor="background1"/>
                                <w:kern w:val="24"/>
                                <w:sz w:val="20"/>
                                <w:szCs w:val="20"/>
                              </w:rPr>
                              <w:t xml:space="preserve">he public official </w:t>
                            </w:r>
                            <w:r w:rsidRPr="008B4E3A">
                              <w:rPr>
                                <w:rFonts w:cs="Calibri"/>
                                <w:bCs/>
                                <w:i/>
                                <w:iCs/>
                                <w:color w:val="FFFFFF" w:themeColor="background1"/>
                                <w:kern w:val="24"/>
                                <w:sz w:val="20"/>
                                <w:szCs w:val="20"/>
                              </w:rPr>
                              <w:t xml:space="preserve">honestly and reasonably believes </w:t>
                            </w:r>
                            <w:r w:rsidRPr="008B4E3A">
                              <w:rPr>
                                <w:rFonts w:cs="Calibri"/>
                                <w:color w:val="FFFFFF" w:themeColor="background1"/>
                                <w:kern w:val="24"/>
                                <w:sz w:val="20"/>
                                <w:szCs w:val="20"/>
                              </w:rPr>
                              <w:t>that the information they</w:t>
                            </w:r>
                            <w:r w:rsidR="007022B8" w:rsidRPr="008B4E3A">
                              <w:rPr>
                                <w:rFonts w:cs="Calibri"/>
                                <w:color w:val="FFFFFF" w:themeColor="background1"/>
                                <w:kern w:val="24"/>
                                <w:sz w:val="20"/>
                                <w:szCs w:val="20"/>
                              </w:rPr>
                              <w:t xml:space="preserve"> a</w:t>
                            </w:r>
                            <w:r w:rsidRPr="008B4E3A">
                              <w:rPr>
                                <w:rFonts w:cs="Calibri"/>
                                <w:color w:val="FFFFFF" w:themeColor="background1"/>
                                <w:kern w:val="24"/>
                                <w:sz w:val="20"/>
                                <w:szCs w:val="20"/>
                              </w:rPr>
                              <w:t xml:space="preserve">re providing </w:t>
                            </w:r>
                            <w:r w:rsidRPr="008B4E3A">
                              <w:rPr>
                                <w:rFonts w:cs="Calibri"/>
                                <w:bCs/>
                                <w:i/>
                                <w:iCs/>
                                <w:color w:val="FFFFFF" w:themeColor="background1"/>
                                <w:kern w:val="24"/>
                                <w:sz w:val="20"/>
                                <w:szCs w:val="20"/>
                              </w:rPr>
                              <w:t>shows (or tends to show) serious wrongdoing</w:t>
                            </w:r>
                          </w:p>
                          <w:p w14:paraId="2331F5C8" w14:textId="05D4EBAA" w:rsidR="00237405" w:rsidRPr="003E2D15" w:rsidRDefault="00237405" w:rsidP="00237405">
                            <w:pPr>
                              <w:jc w:val="center"/>
                              <w:rPr>
                                <w:rFonts w:cs="Calibri"/>
                                <w:color w:val="000000" w:themeColor="text1"/>
                                <w:kern w:val="24"/>
                                <w:sz w:val="20"/>
                                <w:szCs w:val="20"/>
                                <w:lang w:val="en-US"/>
                              </w:rPr>
                            </w:pP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EFB9F2D" id="Rectangle: Rounded Corners 1019845572" o:spid="_x0000_s1029" style="position:absolute;margin-left:160.35pt;margin-top:7.3pt;width:118.45pt;height:116.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" fillcolor="#0a4047" stroked="f" strokeweight="2pt">
                <v:shadow on="t" color="black" opacity="26214f" origin="-.5,-.5" offset=".74836mm,.74836mm"/>
                <v:textbox>
                  <w:txbxContent>
                    <w:p w14:paraId="08439183" w14:textId="43FFE810" w:rsidR="00237405" w:rsidRPr="008B4E3A" w:rsidRDefault="00237405" w:rsidP="00833509">
                      <w:pPr>
                        <w:jc w:val="center"/>
                        <w:rPr>
                          <w:rFonts w:cs="Calibri"/>
                          <w:color w:val="FFFFFF" w:themeColor="background1"/>
                          <w:kern w:val="24"/>
                          <w:sz w:val="20"/>
                          <w:szCs w:val="20"/>
                        </w:rPr>
                      </w:pPr>
                      <w:r w:rsidRPr="008B4E3A">
                        <w:rPr>
                          <w:rFonts w:cs="Calibri"/>
                          <w:b/>
                          <w:color w:val="FFFFFF" w:themeColor="background1"/>
                          <w:kern w:val="24"/>
                          <w:sz w:val="20"/>
                          <w:szCs w:val="20"/>
                        </w:rPr>
                        <w:t>3.</w:t>
                      </w:r>
                      <w:r w:rsidRPr="008B4E3A">
                        <w:rPr>
                          <w:rFonts w:cs="Calibri"/>
                          <w:color w:val="FFFFFF" w:themeColor="background1"/>
                          <w:kern w:val="24"/>
                          <w:sz w:val="20"/>
                          <w:szCs w:val="20"/>
                        </w:rPr>
                        <w:t xml:space="preserve"> </w:t>
                      </w:r>
                      <w:r w:rsidR="009B67BA" w:rsidRPr="008B4E3A">
                        <w:rPr>
                          <w:rFonts w:cs="Calibri"/>
                          <w:color w:val="FFFFFF" w:themeColor="background1"/>
                          <w:kern w:val="24"/>
                          <w:sz w:val="20"/>
                          <w:szCs w:val="20"/>
                        </w:rPr>
                        <w:t>T</w:t>
                      </w:r>
                      <w:r w:rsidRPr="008B4E3A">
                        <w:rPr>
                          <w:rFonts w:cs="Calibri"/>
                          <w:color w:val="FFFFFF" w:themeColor="background1"/>
                          <w:kern w:val="24"/>
                          <w:sz w:val="20"/>
                          <w:szCs w:val="20"/>
                        </w:rPr>
                        <w:t xml:space="preserve">he public official </w:t>
                      </w:r>
                      <w:r w:rsidRPr="008B4E3A">
                        <w:rPr>
                          <w:rFonts w:cs="Calibri"/>
                          <w:bCs/>
                          <w:i/>
                          <w:iCs/>
                          <w:color w:val="FFFFFF" w:themeColor="background1"/>
                          <w:kern w:val="24"/>
                          <w:sz w:val="20"/>
                          <w:szCs w:val="20"/>
                        </w:rPr>
                        <w:t xml:space="preserve">honestly and reasonably believes </w:t>
                      </w:r>
                      <w:r w:rsidRPr="008B4E3A">
                        <w:rPr>
                          <w:rFonts w:cs="Calibri"/>
                          <w:color w:val="FFFFFF" w:themeColor="background1"/>
                          <w:kern w:val="24"/>
                          <w:sz w:val="20"/>
                          <w:szCs w:val="20"/>
                        </w:rPr>
                        <w:t>that the information they</w:t>
                      </w:r>
                      <w:r w:rsidR="007022B8" w:rsidRPr="008B4E3A">
                        <w:rPr>
                          <w:rFonts w:cs="Calibri"/>
                          <w:color w:val="FFFFFF" w:themeColor="background1"/>
                          <w:kern w:val="24"/>
                          <w:sz w:val="20"/>
                          <w:szCs w:val="20"/>
                        </w:rPr>
                        <w:t xml:space="preserve"> a</w:t>
                      </w:r>
                      <w:r w:rsidRPr="008B4E3A">
                        <w:rPr>
                          <w:rFonts w:cs="Calibri"/>
                          <w:color w:val="FFFFFF" w:themeColor="background1"/>
                          <w:kern w:val="24"/>
                          <w:sz w:val="20"/>
                          <w:szCs w:val="20"/>
                        </w:rPr>
                        <w:t xml:space="preserve">re providing </w:t>
                      </w:r>
                      <w:r w:rsidRPr="008B4E3A">
                        <w:rPr>
                          <w:rFonts w:cs="Calibri"/>
                          <w:bCs/>
                          <w:i/>
                          <w:iCs/>
                          <w:color w:val="FFFFFF" w:themeColor="background1"/>
                          <w:kern w:val="24"/>
                          <w:sz w:val="20"/>
                          <w:szCs w:val="20"/>
                        </w:rPr>
                        <w:t>shows (or tends to show) serious wrongdoing</w:t>
                      </w:r>
                    </w:p>
                    <w:p w14:paraId="2331F5C8" w14:textId="05D4EBAA" w:rsidR="00237405" w:rsidRPr="003E2D15" w:rsidRDefault="00237405" w:rsidP="00237405">
                      <w:pPr>
                        <w:jc w:val="center"/>
                        <w:rPr>
                          <w:rFonts w:cs="Calibri"/>
                          <w:color w:val="000000" w:themeColor="text1"/>
                          <w:kern w:val="24"/>
                          <w:sz w:val="20"/>
                          <w:szCs w:val="20"/>
                          <w:lang w:val="en-US"/>
                        </w:rPr>
                      </w:pPr>
                    </w:p>
                  </w:txbxContent>
                </v:textbox>
                <w10:wrap anchorx="margin"/>
              </v:roundrect>
            </w:pict>
          </mc:Fallback>
        </mc:AlternateContent>
      </w:r>
      <w:r>
        <w:rPr>
          <w:noProof/>
        </w:rPr>
        <mc:AlternateContent>
          <mc:Choice Requires="wps">
            <w:drawing>
              <wp:anchor distT="0" distB="0" distL="114300" distR="114300" simplePos="0" relativeHeight="251658243" behindDoc="0" locked="0" layoutInCell="1" allowOverlap="1" wp14:anchorId="6956B725" wp14:editId="473A6666">
                <wp:simplePos x="0" y="0"/>
                <wp:positionH relativeFrom="rightMargin">
                  <wp:posOffset>-1046318</wp:posOffset>
                </wp:positionH>
                <wp:positionV relativeFrom="paragraph">
                  <wp:posOffset>125095</wp:posOffset>
                </wp:positionV>
                <wp:extent cx="1200785" cy="1088390"/>
                <wp:effectExtent l="38100" t="38100" r="94615" b="92710"/>
                <wp:wrapNone/>
                <wp:docPr id="1385119956" name="Rectangle: Rounded Corners 1385119956"/>
                <wp:cNvGraphicFramePr/>
                <a:graphic xmlns:a="http://schemas.openxmlformats.org/drawingml/2006/main">
                  <a:graphicData uri="http://schemas.microsoft.com/office/word/2010/wordprocessingShape">
                    <wps:wsp>
                      <wps:cNvSpPr/>
                      <wps:spPr>
                        <a:xfrm>
                          <a:off x="0" y="0"/>
                          <a:ext cx="1200785" cy="1088390"/>
                        </a:xfrm>
                        <a:prstGeom prst="roundRect">
                          <a:avLst/>
                        </a:prstGeom>
                        <a:solidFill>
                          <a:srgbClr val="0A4047"/>
                        </a:solidFill>
                        <a:ln w="25400" cap="flat" cmpd="sng" algn="ctr">
                          <a:noFill/>
                          <a:prstDash val="solid"/>
                        </a:ln>
                        <a:effectLst>
                          <a:outerShdw blurRad="50800" dist="38100" dir="2700000" algn="tl" rotWithShape="0">
                            <a:prstClr val="black">
                              <a:alpha val="40000"/>
                            </a:prstClr>
                          </a:outerShdw>
                        </a:effectLst>
                      </wps:spPr>
                      <wps:txbx>
                        <w:txbxContent>
                          <w:p w14:paraId="6F0AB160" w14:textId="48FA60B1" w:rsidR="00443174" w:rsidRPr="008B4E3A" w:rsidRDefault="00443174" w:rsidP="00443174">
                            <w:pPr>
                              <w:jc w:val="center"/>
                              <w:rPr>
                                <w:rFonts w:asciiTheme="minorHAnsi" w:hAnsiTheme="minorHAnsi" w:cstheme="minorHAnsi"/>
                                <w:color w:val="FFFFFF" w:themeColor="background1"/>
                                <w:kern w:val="24"/>
                                <w:sz w:val="20"/>
                                <w:szCs w:val="20"/>
                                <w:lang w:val="en-US"/>
                              </w:rPr>
                            </w:pPr>
                            <w:r w:rsidRPr="008B4E3A">
                              <w:rPr>
                                <w:rFonts w:asciiTheme="minorHAnsi" w:hAnsiTheme="minorHAnsi" w:cstheme="minorHAnsi"/>
                                <w:b/>
                                <w:color w:val="FFFFFF" w:themeColor="background1"/>
                                <w:kern w:val="24"/>
                                <w:sz w:val="20"/>
                                <w:szCs w:val="20"/>
                                <w:lang w:val="en-US"/>
                              </w:rPr>
                              <w:t xml:space="preserve">5. </w:t>
                            </w:r>
                            <w:r w:rsidR="004B67D8" w:rsidRPr="008B4E3A">
                              <w:rPr>
                                <w:rFonts w:asciiTheme="minorHAnsi" w:hAnsiTheme="minorHAnsi" w:cstheme="minorHAnsi"/>
                                <w:bCs/>
                                <w:color w:val="FFFFFF" w:themeColor="background1"/>
                                <w:kern w:val="24"/>
                                <w:sz w:val="20"/>
                                <w:szCs w:val="20"/>
                                <w:lang w:val="en-US"/>
                              </w:rPr>
                              <w:t>T</w:t>
                            </w:r>
                            <w:r w:rsidRPr="008B4E3A">
                              <w:rPr>
                                <w:rFonts w:asciiTheme="minorHAnsi" w:hAnsiTheme="minorHAnsi" w:cstheme="minorHAnsi"/>
                                <w:bCs/>
                                <w:color w:val="FFFFFF" w:themeColor="background1"/>
                                <w:kern w:val="24"/>
                                <w:sz w:val="20"/>
                                <w:szCs w:val="20"/>
                                <w:lang w:val="en-US"/>
                              </w:rPr>
                              <w:t xml:space="preserve">he report is voluntary (meaning </w:t>
                            </w:r>
                            <w:r w:rsidR="00E101E0" w:rsidRPr="008B4E3A">
                              <w:rPr>
                                <w:rFonts w:asciiTheme="minorHAnsi" w:hAnsiTheme="minorHAnsi" w:cstheme="minorHAnsi"/>
                                <w:bCs/>
                                <w:color w:val="FFFFFF" w:themeColor="background1"/>
                                <w:kern w:val="24"/>
                                <w:sz w:val="20"/>
                                <w:szCs w:val="20"/>
                                <w:lang w:val="en-US"/>
                              </w:rPr>
                              <w:t>it is</w:t>
                            </w:r>
                            <w:r w:rsidR="00575047" w:rsidRPr="008B4E3A">
                              <w:rPr>
                                <w:rFonts w:asciiTheme="minorHAnsi" w:hAnsiTheme="minorHAnsi" w:cstheme="minorHAnsi"/>
                                <w:bCs/>
                                <w:color w:val="FFFFFF" w:themeColor="background1"/>
                                <w:kern w:val="24"/>
                                <w:sz w:val="20"/>
                                <w:szCs w:val="20"/>
                                <w:lang w:val="en-US"/>
                              </w:rPr>
                              <w:t xml:space="preserve"> </w:t>
                            </w:r>
                            <w:r w:rsidRPr="008B4E3A">
                              <w:rPr>
                                <w:rFonts w:asciiTheme="minorHAnsi" w:hAnsiTheme="minorHAnsi" w:cstheme="minorHAnsi"/>
                                <w:bCs/>
                                <w:color w:val="FFFFFF" w:themeColor="background1"/>
                                <w:kern w:val="24"/>
                                <w:sz w:val="20"/>
                                <w:szCs w:val="20"/>
                                <w:lang w:val="en-US"/>
                              </w:rPr>
                              <w:t>not a</w:t>
                            </w:r>
                            <w:r w:rsidR="003E2D15" w:rsidRPr="008B4E3A">
                              <w:rPr>
                                <w:rFonts w:asciiTheme="minorHAnsi" w:hAnsiTheme="minorHAnsi" w:cstheme="minorHAnsi"/>
                                <w:bCs/>
                                <w:color w:val="FFFFFF" w:themeColor="background1"/>
                                <w:kern w:val="24"/>
                                <w:sz w:val="20"/>
                                <w:szCs w:val="20"/>
                                <w:lang w:val="en-US"/>
                              </w:rPr>
                              <w:t xml:space="preserve"> </w:t>
                            </w:r>
                            <w:r w:rsidRPr="008B4E3A">
                              <w:rPr>
                                <w:rFonts w:asciiTheme="minorHAnsi" w:hAnsiTheme="minorHAnsi" w:cstheme="minorHAnsi"/>
                                <w:bCs/>
                                <w:color w:val="FFFFFF" w:themeColor="background1"/>
                                <w:kern w:val="24"/>
                                <w:sz w:val="20"/>
                                <w:szCs w:val="20"/>
                                <w:lang w:val="en-US"/>
                              </w:rPr>
                              <w:t>mandatory or witness PID)</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956B725" id="Rectangle: Rounded Corners 1385119956" o:spid="_x0000_s1030" style="position:absolute;margin-left:-82.4pt;margin-top:9.85pt;width:94.55pt;height:85.7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" fillcolor="#0a4047" stroked="f" strokeweight="2pt">
                <v:shadow on="t" color="black" opacity="26214f" origin="-.5,-.5" offset=".74836mm,.74836mm"/>
                <v:textbox>
                  <w:txbxContent>
                    <w:p w14:paraId="6F0AB160" w14:textId="48FA60B1" w:rsidR="00443174" w:rsidRPr="008B4E3A" w:rsidRDefault="00443174" w:rsidP="00443174">
                      <w:pPr>
                        <w:jc w:val="center"/>
                        <w:rPr>
                          <w:rFonts w:asciiTheme="minorHAnsi" w:hAnsiTheme="minorHAnsi" w:cstheme="minorHAnsi"/>
                          <w:color w:val="FFFFFF" w:themeColor="background1"/>
                          <w:kern w:val="24"/>
                          <w:sz w:val="20"/>
                          <w:szCs w:val="20"/>
                          <w:lang w:val="en-US"/>
                        </w:rPr>
                      </w:pPr>
                      <w:r w:rsidRPr="008B4E3A">
                        <w:rPr>
                          <w:rFonts w:asciiTheme="minorHAnsi" w:hAnsiTheme="minorHAnsi" w:cstheme="minorHAnsi"/>
                          <w:b/>
                          <w:color w:val="FFFFFF" w:themeColor="background1"/>
                          <w:kern w:val="24"/>
                          <w:sz w:val="20"/>
                          <w:szCs w:val="20"/>
                          <w:lang w:val="en-US"/>
                        </w:rPr>
                        <w:t xml:space="preserve">5. </w:t>
                      </w:r>
                      <w:r w:rsidR="004B67D8" w:rsidRPr="008B4E3A">
                        <w:rPr>
                          <w:rFonts w:asciiTheme="minorHAnsi" w:hAnsiTheme="minorHAnsi" w:cstheme="minorHAnsi"/>
                          <w:bCs/>
                          <w:color w:val="FFFFFF" w:themeColor="background1"/>
                          <w:kern w:val="24"/>
                          <w:sz w:val="20"/>
                          <w:szCs w:val="20"/>
                          <w:lang w:val="en-US"/>
                        </w:rPr>
                        <w:t>T</w:t>
                      </w:r>
                      <w:r w:rsidRPr="008B4E3A">
                        <w:rPr>
                          <w:rFonts w:asciiTheme="minorHAnsi" w:hAnsiTheme="minorHAnsi" w:cstheme="minorHAnsi"/>
                          <w:bCs/>
                          <w:color w:val="FFFFFF" w:themeColor="background1"/>
                          <w:kern w:val="24"/>
                          <w:sz w:val="20"/>
                          <w:szCs w:val="20"/>
                          <w:lang w:val="en-US"/>
                        </w:rPr>
                        <w:t xml:space="preserve">he report is voluntary (meaning </w:t>
                      </w:r>
                      <w:r w:rsidR="00E101E0" w:rsidRPr="008B4E3A">
                        <w:rPr>
                          <w:rFonts w:asciiTheme="minorHAnsi" w:hAnsiTheme="minorHAnsi" w:cstheme="minorHAnsi"/>
                          <w:bCs/>
                          <w:color w:val="FFFFFF" w:themeColor="background1"/>
                          <w:kern w:val="24"/>
                          <w:sz w:val="20"/>
                          <w:szCs w:val="20"/>
                          <w:lang w:val="en-US"/>
                        </w:rPr>
                        <w:t>it is</w:t>
                      </w:r>
                      <w:r w:rsidR="00575047" w:rsidRPr="008B4E3A">
                        <w:rPr>
                          <w:rFonts w:asciiTheme="minorHAnsi" w:hAnsiTheme="minorHAnsi" w:cstheme="minorHAnsi"/>
                          <w:bCs/>
                          <w:color w:val="FFFFFF" w:themeColor="background1"/>
                          <w:kern w:val="24"/>
                          <w:sz w:val="20"/>
                          <w:szCs w:val="20"/>
                          <w:lang w:val="en-US"/>
                        </w:rPr>
                        <w:t xml:space="preserve"> </w:t>
                      </w:r>
                      <w:r w:rsidRPr="008B4E3A">
                        <w:rPr>
                          <w:rFonts w:asciiTheme="minorHAnsi" w:hAnsiTheme="minorHAnsi" w:cstheme="minorHAnsi"/>
                          <w:bCs/>
                          <w:color w:val="FFFFFF" w:themeColor="background1"/>
                          <w:kern w:val="24"/>
                          <w:sz w:val="20"/>
                          <w:szCs w:val="20"/>
                          <w:lang w:val="en-US"/>
                        </w:rPr>
                        <w:t>not a</w:t>
                      </w:r>
                      <w:r w:rsidR="003E2D15" w:rsidRPr="008B4E3A">
                        <w:rPr>
                          <w:rFonts w:asciiTheme="minorHAnsi" w:hAnsiTheme="minorHAnsi" w:cstheme="minorHAnsi"/>
                          <w:bCs/>
                          <w:color w:val="FFFFFF" w:themeColor="background1"/>
                          <w:kern w:val="24"/>
                          <w:sz w:val="20"/>
                          <w:szCs w:val="20"/>
                          <w:lang w:val="en-US"/>
                        </w:rPr>
                        <w:t xml:space="preserve"> </w:t>
                      </w:r>
                      <w:r w:rsidRPr="008B4E3A">
                        <w:rPr>
                          <w:rFonts w:asciiTheme="minorHAnsi" w:hAnsiTheme="minorHAnsi" w:cstheme="minorHAnsi"/>
                          <w:bCs/>
                          <w:color w:val="FFFFFF" w:themeColor="background1"/>
                          <w:kern w:val="24"/>
                          <w:sz w:val="20"/>
                          <w:szCs w:val="20"/>
                          <w:lang w:val="en-US"/>
                        </w:rPr>
                        <w:t>mandatory or witness PID)</w:t>
                      </w:r>
                    </w:p>
                  </w:txbxContent>
                </v:textbox>
                <w10:wrap anchorx="margin"/>
              </v:roundrect>
            </w:pict>
          </mc:Fallback>
        </mc:AlternateContent>
      </w:r>
      <w:r>
        <w:rPr>
          <w:noProof/>
        </w:rPr>
        <mc:AlternateContent>
          <mc:Choice Requires="wps">
            <w:drawing>
              <wp:anchor distT="0" distB="0" distL="114300" distR="114300" simplePos="0" relativeHeight="251658244" behindDoc="0" locked="0" layoutInCell="1" allowOverlap="1" wp14:anchorId="5354FFF8" wp14:editId="65A85B64">
                <wp:simplePos x="0" y="0"/>
                <wp:positionH relativeFrom="column">
                  <wp:posOffset>-46960</wp:posOffset>
                </wp:positionH>
                <wp:positionV relativeFrom="paragraph">
                  <wp:posOffset>137071</wp:posOffset>
                </wp:positionV>
                <wp:extent cx="982625" cy="695547"/>
                <wp:effectExtent l="38100" t="38100" r="103505" b="104775"/>
                <wp:wrapNone/>
                <wp:docPr id="1542333758" name="Rectangle: Rounded Corners 1542333758"/>
                <wp:cNvGraphicFramePr/>
                <a:graphic xmlns:a="http://schemas.openxmlformats.org/drawingml/2006/main">
                  <a:graphicData uri="http://schemas.microsoft.com/office/word/2010/wordprocessingShape">
                    <wps:wsp>
                      <wps:cNvSpPr/>
                      <wps:spPr>
                        <a:xfrm>
                          <a:off x="0" y="0"/>
                          <a:ext cx="982625" cy="695547"/>
                        </a:xfrm>
                        <a:prstGeom prst="roundRect">
                          <a:avLst/>
                        </a:prstGeom>
                        <a:solidFill>
                          <a:srgbClr val="0A4047"/>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EBAD92" w14:textId="64079719" w:rsidR="00BD4DE4" w:rsidRPr="003E2D15" w:rsidRDefault="00BD4DE4" w:rsidP="00BD4DE4">
                            <w:pPr>
                              <w:jc w:val="center"/>
                              <w:rPr>
                                <w:rFonts w:asciiTheme="minorHAnsi" w:hAnsiTheme="minorHAnsi" w:cstheme="minorHAnsi"/>
                                <w:color w:val="0A4047"/>
                                <w:kern w:val="24"/>
                                <w:sz w:val="20"/>
                                <w:szCs w:val="20"/>
                                <w:lang w:val="en-US"/>
                              </w:rPr>
                            </w:pPr>
                            <w:r w:rsidRPr="008B4E3A">
                              <w:rPr>
                                <w:rFonts w:asciiTheme="minorHAnsi" w:hAnsiTheme="minorHAnsi" w:cstheme="minorHAnsi"/>
                                <w:b/>
                                <w:color w:val="FFFFFF" w:themeColor="background1"/>
                                <w:kern w:val="24"/>
                                <w:sz w:val="20"/>
                                <w:szCs w:val="20"/>
                                <w:lang w:val="en-US"/>
                              </w:rPr>
                              <w:t>1.</w:t>
                            </w:r>
                            <w:r w:rsidRPr="008B4E3A">
                              <w:rPr>
                                <w:rFonts w:asciiTheme="minorHAnsi" w:hAnsiTheme="minorHAnsi" w:cstheme="minorHAnsi"/>
                                <w:color w:val="FFFFFF" w:themeColor="background1"/>
                                <w:kern w:val="24"/>
                                <w:sz w:val="20"/>
                                <w:szCs w:val="20"/>
                                <w:lang w:val="en-US"/>
                              </w:rPr>
                              <w:t xml:space="preserve"> A report</w:t>
                            </w:r>
                            <w:r w:rsidR="00F750FF" w:rsidRPr="008B4E3A">
                              <w:rPr>
                                <w:rFonts w:asciiTheme="minorHAnsi" w:hAnsiTheme="minorHAnsi" w:cstheme="minorHAnsi"/>
                                <w:color w:val="FFFFFF" w:themeColor="background1"/>
                                <w:kern w:val="24"/>
                                <w:sz w:val="20"/>
                                <w:szCs w:val="20"/>
                                <w:lang w:val="en-US"/>
                              </w:rPr>
                              <w:t xml:space="preserve"> is</w:t>
                            </w:r>
                            <w:r w:rsidRPr="008B4E3A">
                              <w:rPr>
                                <w:rFonts w:asciiTheme="minorHAnsi" w:hAnsiTheme="minorHAnsi" w:cstheme="minorHAnsi"/>
                                <w:color w:val="FFFFFF" w:themeColor="background1"/>
                                <w:kern w:val="24"/>
                                <w:sz w:val="20"/>
                                <w:szCs w:val="20"/>
                                <w:lang w:val="en-US"/>
                              </w:rPr>
                              <w:t xml:space="preserve"> made by a public official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354FFF8" id="Rectangle: Rounded Corners 1542333758" o:spid="_x0000_s1031" style="position:absolute;margin-left:-3.7pt;margin-top:10.8pt;width:77.35pt;height:5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" fillcolor="#0a4047" stroked="f" strokeweight="2pt">
                <v:shadow on="t" color="black" opacity="26214f" origin="-.5,-.5" offset=".74836mm,.74836mm"/>
                <v:textbox>
                  <w:txbxContent>
                    <w:p w14:paraId="0DEBAD92" w14:textId="64079719" w:rsidR="00BD4DE4" w:rsidRPr="003E2D15" w:rsidRDefault="00BD4DE4" w:rsidP="00BD4DE4">
                      <w:pPr>
                        <w:jc w:val="center"/>
                        <w:rPr>
                          <w:rFonts w:asciiTheme="minorHAnsi" w:hAnsiTheme="minorHAnsi" w:cstheme="minorHAnsi"/>
                          <w:color w:val="0A4047"/>
                          <w:kern w:val="24"/>
                          <w:sz w:val="20"/>
                          <w:szCs w:val="20"/>
                          <w:lang w:val="en-US"/>
                        </w:rPr>
                      </w:pPr>
                      <w:r w:rsidRPr="008B4E3A">
                        <w:rPr>
                          <w:rFonts w:asciiTheme="minorHAnsi" w:hAnsiTheme="minorHAnsi" w:cstheme="minorHAnsi"/>
                          <w:b/>
                          <w:color w:val="FFFFFF" w:themeColor="background1"/>
                          <w:kern w:val="24"/>
                          <w:sz w:val="20"/>
                          <w:szCs w:val="20"/>
                          <w:lang w:val="en-US"/>
                        </w:rPr>
                        <w:t>1.</w:t>
                      </w:r>
                      <w:r w:rsidRPr="008B4E3A">
                        <w:rPr>
                          <w:rFonts w:asciiTheme="minorHAnsi" w:hAnsiTheme="minorHAnsi" w:cstheme="minorHAnsi"/>
                          <w:color w:val="FFFFFF" w:themeColor="background1"/>
                          <w:kern w:val="24"/>
                          <w:sz w:val="20"/>
                          <w:szCs w:val="20"/>
                          <w:lang w:val="en-US"/>
                        </w:rPr>
                        <w:t xml:space="preserve"> A report</w:t>
                      </w:r>
                      <w:r w:rsidR="00F750FF" w:rsidRPr="008B4E3A">
                        <w:rPr>
                          <w:rFonts w:asciiTheme="minorHAnsi" w:hAnsiTheme="minorHAnsi" w:cstheme="minorHAnsi"/>
                          <w:color w:val="FFFFFF" w:themeColor="background1"/>
                          <w:kern w:val="24"/>
                          <w:sz w:val="20"/>
                          <w:szCs w:val="20"/>
                          <w:lang w:val="en-US"/>
                        </w:rPr>
                        <w:t xml:space="preserve"> is</w:t>
                      </w:r>
                      <w:r w:rsidRPr="008B4E3A">
                        <w:rPr>
                          <w:rFonts w:asciiTheme="minorHAnsi" w:hAnsiTheme="minorHAnsi" w:cstheme="minorHAnsi"/>
                          <w:color w:val="FFFFFF" w:themeColor="background1"/>
                          <w:kern w:val="24"/>
                          <w:sz w:val="20"/>
                          <w:szCs w:val="20"/>
                          <w:lang w:val="en-US"/>
                        </w:rPr>
                        <w:t xml:space="preserve"> made by a public official </w:t>
                      </w:r>
                    </w:p>
                  </w:txbxContent>
                </v:textbox>
              </v:roundrect>
            </w:pict>
          </mc:Fallback>
        </mc:AlternateContent>
      </w:r>
      <w:r w:rsidR="003E2D15">
        <w:rPr>
          <w:noProof/>
        </w:rPr>
        <mc:AlternateContent>
          <mc:Choice Requires="wps">
            <w:drawing>
              <wp:anchor distT="0" distB="0" distL="114300" distR="114300" simplePos="0" relativeHeight="251658242" behindDoc="0" locked="0" layoutInCell="1" allowOverlap="1" wp14:anchorId="0EFE7EA4" wp14:editId="17D5BAF9">
                <wp:simplePos x="0" y="0"/>
                <wp:positionH relativeFrom="margin">
                  <wp:posOffset>3605530</wp:posOffset>
                </wp:positionH>
                <wp:positionV relativeFrom="paragraph">
                  <wp:posOffset>125095</wp:posOffset>
                </wp:positionV>
                <wp:extent cx="950595" cy="1014095"/>
                <wp:effectExtent l="38100" t="38100" r="97155" b="90805"/>
                <wp:wrapNone/>
                <wp:docPr id="1271282517" name="Rectangle: Rounded Corners 1271282517"/>
                <wp:cNvGraphicFramePr/>
                <a:graphic xmlns:a="http://schemas.openxmlformats.org/drawingml/2006/main">
                  <a:graphicData uri="http://schemas.microsoft.com/office/word/2010/wordprocessingShape">
                    <wps:wsp>
                      <wps:cNvSpPr/>
                      <wps:spPr>
                        <a:xfrm>
                          <a:off x="0" y="0"/>
                          <a:ext cx="950595" cy="1014095"/>
                        </a:xfrm>
                        <a:prstGeom prst="roundRect">
                          <a:avLst/>
                        </a:prstGeom>
                        <a:solidFill>
                          <a:srgbClr val="0A4047"/>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31E328" w14:textId="1DF311CE" w:rsidR="009B67BA" w:rsidRPr="008B4E3A" w:rsidRDefault="009B67BA" w:rsidP="009B67BA">
                            <w:pPr>
                              <w:jc w:val="center"/>
                              <w:rPr>
                                <w:rFonts w:asciiTheme="minorHAnsi" w:hAnsiTheme="minorHAnsi" w:cstheme="minorHAnsi"/>
                                <w:color w:val="FFFFFF" w:themeColor="background1"/>
                                <w:kern w:val="24"/>
                                <w:sz w:val="20"/>
                                <w:szCs w:val="20"/>
                                <w:lang w:val="en-US"/>
                              </w:rPr>
                            </w:pPr>
                            <w:r w:rsidRPr="008B4E3A">
                              <w:rPr>
                                <w:rFonts w:asciiTheme="minorHAnsi" w:hAnsiTheme="minorHAnsi" w:cstheme="minorHAnsi"/>
                                <w:b/>
                                <w:color w:val="FFFFFF" w:themeColor="background1"/>
                                <w:kern w:val="24"/>
                                <w:sz w:val="20"/>
                                <w:szCs w:val="20"/>
                                <w:lang w:val="en-US"/>
                              </w:rPr>
                              <w:t>4.</w:t>
                            </w:r>
                            <w:r w:rsidRPr="008B4E3A">
                              <w:rPr>
                                <w:rFonts w:asciiTheme="minorHAnsi" w:hAnsiTheme="minorHAnsi" w:cstheme="minorHAnsi"/>
                                <w:color w:val="FFFFFF" w:themeColor="background1"/>
                                <w:kern w:val="24"/>
                                <w:sz w:val="20"/>
                                <w:szCs w:val="20"/>
                                <w:lang w:val="en-US"/>
                              </w:rPr>
                              <w:t xml:space="preserve"> </w:t>
                            </w:r>
                            <w:r w:rsidR="004B67D8" w:rsidRPr="008B4E3A">
                              <w:rPr>
                                <w:rFonts w:asciiTheme="minorHAnsi" w:hAnsiTheme="minorHAnsi" w:cstheme="minorHAnsi"/>
                                <w:color w:val="FFFFFF" w:themeColor="background1"/>
                                <w:kern w:val="24"/>
                                <w:sz w:val="20"/>
                                <w:szCs w:val="20"/>
                                <w:lang w:val="en-US"/>
                              </w:rPr>
                              <w:t>T</w:t>
                            </w:r>
                            <w:r w:rsidRPr="008B4E3A">
                              <w:rPr>
                                <w:rFonts w:asciiTheme="minorHAnsi" w:hAnsiTheme="minorHAnsi" w:cstheme="minorHAnsi"/>
                                <w:color w:val="FFFFFF" w:themeColor="background1"/>
                                <w:kern w:val="24"/>
                                <w:sz w:val="20"/>
                                <w:szCs w:val="20"/>
                                <w:lang w:val="en-US"/>
                              </w:rPr>
                              <w:t>he report was made orally or in</w:t>
                            </w:r>
                            <w:r w:rsidR="003E2D15" w:rsidRPr="008B4E3A">
                              <w:rPr>
                                <w:rFonts w:asciiTheme="minorHAnsi" w:hAnsiTheme="minorHAnsi" w:cstheme="minorHAnsi"/>
                                <w:color w:val="FFFFFF" w:themeColor="background1"/>
                                <w:kern w:val="24"/>
                                <w:sz w:val="20"/>
                                <w:szCs w:val="20"/>
                                <w:lang w:val="en-US"/>
                              </w:rPr>
                              <w:t xml:space="preserve"> </w:t>
                            </w:r>
                            <w:r w:rsidRPr="008B4E3A">
                              <w:rPr>
                                <w:rFonts w:asciiTheme="minorHAnsi" w:hAnsiTheme="minorHAnsi" w:cstheme="minorHAnsi"/>
                                <w:color w:val="FFFFFF" w:themeColor="background1"/>
                                <w:kern w:val="24"/>
                                <w:sz w:val="20"/>
                                <w:szCs w:val="20"/>
                                <w:lang w:val="en-US"/>
                              </w:rPr>
                              <w:t>writing  </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0EFE7EA4" id="Rectangle: Rounded Corners 1271282517" o:spid="_x0000_s1032" style="position:absolute;margin-left:283.9pt;margin-top:9.85pt;width:74.85pt;height:79.8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" fillcolor="#0a4047" stroked="f" strokeweight="2pt">
                <v:shadow on="t" color="black" opacity="26214f" origin="-.5,-.5" offset=".74836mm,.74836mm"/>
                <v:textbox>
                  <w:txbxContent>
                    <w:p w14:paraId="1E31E328" w14:textId="1DF311CE" w:rsidR="009B67BA" w:rsidRPr="008B4E3A" w:rsidRDefault="009B67BA" w:rsidP="009B67BA">
                      <w:pPr>
                        <w:jc w:val="center"/>
                        <w:rPr>
                          <w:rFonts w:asciiTheme="minorHAnsi" w:hAnsiTheme="minorHAnsi" w:cstheme="minorHAnsi"/>
                          <w:color w:val="FFFFFF" w:themeColor="background1"/>
                          <w:kern w:val="24"/>
                          <w:sz w:val="20"/>
                          <w:szCs w:val="20"/>
                          <w:lang w:val="en-US"/>
                        </w:rPr>
                      </w:pPr>
                      <w:r w:rsidRPr="008B4E3A">
                        <w:rPr>
                          <w:rFonts w:asciiTheme="minorHAnsi" w:hAnsiTheme="minorHAnsi" w:cstheme="minorHAnsi"/>
                          <w:b/>
                          <w:color w:val="FFFFFF" w:themeColor="background1"/>
                          <w:kern w:val="24"/>
                          <w:sz w:val="20"/>
                          <w:szCs w:val="20"/>
                          <w:lang w:val="en-US"/>
                        </w:rPr>
                        <w:t>4.</w:t>
                      </w:r>
                      <w:r w:rsidRPr="008B4E3A">
                        <w:rPr>
                          <w:rFonts w:asciiTheme="minorHAnsi" w:hAnsiTheme="minorHAnsi" w:cstheme="minorHAnsi"/>
                          <w:color w:val="FFFFFF" w:themeColor="background1"/>
                          <w:kern w:val="24"/>
                          <w:sz w:val="20"/>
                          <w:szCs w:val="20"/>
                          <w:lang w:val="en-US"/>
                        </w:rPr>
                        <w:t xml:space="preserve"> </w:t>
                      </w:r>
                      <w:r w:rsidR="004B67D8" w:rsidRPr="008B4E3A">
                        <w:rPr>
                          <w:rFonts w:asciiTheme="minorHAnsi" w:hAnsiTheme="minorHAnsi" w:cstheme="minorHAnsi"/>
                          <w:color w:val="FFFFFF" w:themeColor="background1"/>
                          <w:kern w:val="24"/>
                          <w:sz w:val="20"/>
                          <w:szCs w:val="20"/>
                          <w:lang w:val="en-US"/>
                        </w:rPr>
                        <w:t>T</w:t>
                      </w:r>
                      <w:r w:rsidRPr="008B4E3A">
                        <w:rPr>
                          <w:rFonts w:asciiTheme="minorHAnsi" w:hAnsiTheme="minorHAnsi" w:cstheme="minorHAnsi"/>
                          <w:color w:val="FFFFFF" w:themeColor="background1"/>
                          <w:kern w:val="24"/>
                          <w:sz w:val="20"/>
                          <w:szCs w:val="20"/>
                          <w:lang w:val="en-US"/>
                        </w:rPr>
                        <w:t>he report was made orally or in</w:t>
                      </w:r>
                      <w:r w:rsidR="003E2D15" w:rsidRPr="008B4E3A">
                        <w:rPr>
                          <w:rFonts w:asciiTheme="minorHAnsi" w:hAnsiTheme="minorHAnsi" w:cstheme="minorHAnsi"/>
                          <w:color w:val="FFFFFF" w:themeColor="background1"/>
                          <w:kern w:val="24"/>
                          <w:sz w:val="20"/>
                          <w:szCs w:val="20"/>
                          <w:lang w:val="en-US"/>
                        </w:rPr>
                        <w:t xml:space="preserve"> </w:t>
                      </w:r>
                      <w:r w:rsidRPr="008B4E3A">
                        <w:rPr>
                          <w:rFonts w:asciiTheme="minorHAnsi" w:hAnsiTheme="minorHAnsi" w:cstheme="minorHAnsi"/>
                          <w:color w:val="FFFFFF" w:themeColor="background1"/>
                          <w:kern w:val="24"/>
                          <w:sz w:val="20"/>
                          <w:szCs w:val="20"/>
                          <w:lang w:val="en-US"/>
                        </w:rPr>
                        <w:t>writing  </w:t>
                      </w:r>
                    </w:p>
                  </w:txbxContent>
                </v:textbox>
                <w10:wrap anchorx="margin"/>
              </v:roundrect>
            </w:pict>
          </mc:Fallback>
        </mc:AlternateContent>
      </w:r>
    </w:p>
    <w:p w14:paraId="77BB1A9F" w14:textId="4EAC88C0" w:rsidR="00BD2201" w:rsidRDefault="00BD2201" w:rsidP="000F3BBD">
      <w:pPr>
        <w:pStyle w:val="paragraph"/>
        <w:spacing w:before="0" w:beforeAutospacing="0" w:after="0" w:afterAutospacing="0"/>
        <w:textAlignment w:val="baseline"/>
        <w:rPr>
          <w:rStyle w:val="eop"/>
          <w:rFonts w:ascii="Arial" w:hAnsi="Arial" w:cs="Arial"/>
          <w:sz w:val="22"/>
          <w:szCs w:val="22"/>
        </w:rPr>
      </w:pPr>
    </w:p>
    <w:p w14:paraId="486CFEDD" w14:textId="443FECD1" w:rsidR="00BD2201" w:rsidRDefault="00BD2201" w:rsidP="000F3BBD">
      <w:pPr>
        <w:pStyle w:val="paragraph"/>
        <w:spacing w:before="0" w:beforeAutospacing="0" w:after="0" w:afterAutospacing="0"/>
        <w:textAlignment w:val="baseline"/>
        <w:rPr>
          <w:rStyle w:val="eop"/>
          <w:rFonts w:ascii="Arial" w:hAnsi="Arial" w:cs="Arial"/>
          <w:sz w:val="22"/>
          <w:szCs w:val="22"/>
        </w:rPr>
      </w:pPr>
    </w:p>
    <w:p w14:paraId="5136EDB9" w14:textId="3944217A" w:rsidR="00BD2201" w:rsidRPr="00833509" w:rsidRDefault="00BD2201" w:rsidP="000F3BBD">
      <w:pPr>
        <w:pStyle w:val="paragraph"/>
        <w:spacing w:before="0" w:beforeAutospacing="0" w:after="0" w:afterAutospacing="0"/>
        <w:textAlignment w:val="baseline"/>
        <w:rPr>
          <w:rFonts w:ascii="Segoe UI" w:hAnsi="Segoe UI" w:cs="Segoe UI"/>
          <w:sz w:val="22"/>
          <w:szCs w:val="22"/>
        </w:rPr>
      </w:pPr>
    </w:p>
    <w:p w14:paraId="7E80BE75" w14:textId="77777777" w:rsidR="007022B8" w:rsidRDefault="007022B8" w:rsidP="002A0765">
      <w:pPr>
        <w:rPr>
          <w:rFonts w:ascii="Arial" w:hAnsi="Arial" w:cs="Arial"/>
        </w:rPr>
      </w:pPr>
    </w:p>
    <w:p w14:paraId="191789F1" w14:textId="77777777" w:rsidR="007022B8" w:rsidRDefault="007022B8" w:rsidP="002A0765">
      <w:pPr>
        <w:rPr>
          <w:rFonts w:ascii="Arial" w:hAnsi="Arial" w:cs="Arial"/>
        </w:rPr>
      </w:pPr>
    </w:p>
    <w:p w14:paraId="221770F9" w14:textId="77777777" w:rsidR="007022B8" w:rsidRDefault="007022B8" w:rsidP="002A0765">
      <w:pPr>
        <w:rPr>
          <w:rFonts w:ascii="Arial" w:hAnsi="Arial" w:cs="Arial"/>
        </w:rPr>
      </w:pPr>
    </w:p>
    <w:p w14:paraId="3DC78D7B" w14:textId="77777777" w:rsidR="007022B8" w:rsidRDefault="007022B8" w:rsidP="002A0765">
      <w:pPr>
        <w:rPr>
          <w:rFonts w:ascii="Arial" w:hAnsi="Arial" w:cs="Arial"/>
        </w:rPr>
      </w:pPr>
    </w:p>
    <w:p w14:paraId="641BCB22" w14:textId="77777777" w:rsidR="007022B8" w:rsidRDefault="007022B8" w:rsidP="002A0765">
      <w:pPr>
        <w:rPr>
          <w:rFonts w:ascii="Arial" w:hAnsi="Arial" w:cs="Arial"/>
        </w:rPr>
      </w:pPr>
    </w:p>
    <w:p w14:paraId="357BA36A" w14:textId="77777777" w:rsidR="007022B8" w:rsidRPr="00776D7E" w:rsidRDefault="007022B8" w:rsidP="002A0765">
      <w:pPr>
        <w:rPr>
          <w:rFonts w:ascii="Arial" w:hAnsi="Arial" w:cs="Arial"/>
        </w:rPr>
      </w:pPr>
    </w:p>
    <w:p w14:paraId="033FE1AA" w14:textId="36925F49" w:rsidR="00F45ACF" w:rsidRDefault="00AC4122" w:rsidP="008B4E3A">
      <w:pPr>
        <w:pStyle w:val="BodyText"/>
      </w:pPr>
      <w:r>
        <w:t xml:space="preserve">If the report has all </w:t>
      </w:r>
      <w:r w:rsidR="00794CB4">
        <w:t>five</w:t>
      </w:r>
      <w:r>
        <w:t xml:space="preserve"> features, it is a voluntary PID.</w:t>
      </w:r>
    </w:p>
    <w:p w14:paraId="601443B2" w14:textId="285E5228" w:rsidR="00EC61BF" w:rsidRDefault="00C77872" w:rsidP="008B4E3A">
      <w:pPr>
        <w:pStyle w:val="BodyText"/>
      </w:pPr>
      <w:r>
        <w:t xml:space="preserve">You will not be expected to prove that what you reported actually happened or is serious wrongdoing. You </w:t>
      </w:r>
      <w:r w:rsidRPr="00833509">
        <w:rPr>
          <w:i/>
          <w:iCs/>
        </w:rPr>
        <w:t>do</w:t>
      </w:r>
      <w:r>
        <w:t xml:space="preserve"> have to</w:t>
      </w:r>
      <w:r w:rsidR="003A3238">
        <w:t xml:space="preserve"> honestly believe, on reasonable grounds, that the information you are reporting shows or tends to show serious wrongdoing.</w:t>
      </w:r>
    </w:p>
    <w:p w14:paraId="3D5EA98C" w14:textId="320482D4" w:rsidR="003A3238" w:rsidRDefault="00921E77" w:rsidP="008B4E3A">
      <w:pPr>
        <w:pStyle w:val="BodyText"/>
      </w:pPr>
      <w:r>
        <w:t xml:space="preserve">Even though you do not have to prove the serious wrongdoing </w:t>
      </w:r>
      <w:r w:rsidR="00603F59">
        <w:t xml:space="preserve">happened </w:t>
      </w:r>
      <w:r>
        <w:t xml:space="preserve">or provide evidence, </w:t>
      </w:r>
      <w:r w:rsidR="005D35FD">
        <w:t xml:space="preserve">a mere allegation with no supporting information is </w:t>
      </w:r>
      <w:r w:rsidR="006A30A0">
        <w:t>un</w:t>
      </w:r>
      <w:r w:rsidR="005D35FD">
        <w:t>likely to meet this test.</w:t>
      </w:r>
    </w:p>
    <w:p w14:paraId="58CE91A7" w14:textId="45828BD1" w:rsidR="00DB7048" w:rsidRDefault="00AC4122" w:rsidP="008B4E3A">
      <w:pPr>
        <w:pStyle w:val="BodyText"/>
      </w:pPr>
      <w:r>
        <w:t>If we make an error and do not identify that you have made a voluntary PID, you will still be entitled to the protections under the PID Act.</w:t>
      </w:r>
    </w:p>
    <w:p w14:paraId="0C245946" w14:textId="3C3AAF1C" w:rsidR="00C33A6D" w:rsidRPr="008B4E3A" w:rsidRDefault="00F64323" w:rsidP="008B4E3A">
      <w:pPr>
        <w:pStyle w:val="BodyText"/>
      </w:pPr>
      <w:r>
        <w:t xml:space="preserve">If you make a </w:t>
      </w:r>
      <w:r w:rsidR="00E84E58">
        <w:t>report</w:t>
      </w:r>
      <w:r>
        <w:t xml:space="preserve"> and believe we have made an error by not identifying that you have made a voluntary PID, you </w:t>
      </w:r>
      <w:r w:rsidR="00CF7D23">
        <w:t xml:space="preserve">should raise this with a nominated disclosure officer or your contact officer for the </w:t>
      </w:r>
      <w:r w:rsidR="00E84E58">
        <w:t>report</w:t>
      </w:r>
      <w:r w:rsidR="00CF7D23">
        <w:t xml:space="preserve">. </w:t>
      </w:r>
      <w:r w:rsidR="00F45ACF">
        <w:t xml:space="preserve">If you are still not satisfied with this outcome, you can </w:t>
      </w:r>
      <w:r w:rsidR="000E4DED">
        <w:t xml:space="preserve">seek an internal review </w:t>
      </w:r>
      <w:r w:rsidR="0073739A">
        <w:t>or we make seek to conciliate the matter. You may also contact the NSW Ombudsman. Further information on</w:t>
      </w:r>
      <w:r w:rsidR="003F12D7">
        <w:t xml:space="preserve"> rights to</w:t>
      </w:r>
      <w:r w:rsidR="0073739A">
        <w:t xml:space="preserve"> internal review </w:t>
      </w:r>
      <w:r w:rsidR="003F12D7">
        <w:t>and conciliation is</w:t>
      </w:r>
      <w:r w:rsidR="0073739A">
        <w:t xml:space="preserve"> found in section </w:t>
      </w:r>
      <w:r w:rsidR="00840BC9">
        <w:t>7</w:t>
      </w:r>
      <w:r w:rsidR="00CD2FAA">
        <w:t xml:space="preserve"> </w:t>
      </w:r>
      <w:r w:rsidR="0073739A">
        <w:t>of this policy.</w:t>
      </w:r>
    </w:p>
    <w:p w14:paraId="4E10306E" w14:textId="5194EA40" w:rsidR="00FD3EC4" w:rsidRDefault="00745B54" w:rsidP="000A6B30">
      <w:pPr>
        <w:pStyle w:val="Heading3"/>
        <w:ind w:left="567" w:hanging="567"/>
      </w:pPr>
      <w:bookmarkStart w:id="124" w:name="_Toc140251718"/>
      <w:r>
        <w:t>(c)</w:t>
      </w:r>
      <w:r w:rsidR="000A6B30">
        <w:tab/>
      </w:r>
      <w:r w:rsidR="00FD3EC4" w:rsidRPr="00D52419">
        <w:t xml:space="preserve">Who can </w:t>
      </w:r>
      <w:r w:rsidR="00FD3EC4" w:rsidRPr="00B829C9">
        <w:t>make</w:t>
      </w:r>
      <w:r w:rsidR="00FD3EC4" w:rsidRPr="002F5691">
        <w:t xml:space="preserve"> a voluntary PID?</w:t>
      </w:r>
      <w:bookmarkEnd w:id="124"/>
    </w:p>
    <w:p w14:paraId="15E2E9E6" w14:textId="12AB3A00" w:rsidR="00B950BA" w:rsidRDefault="00FD3EC4" w:rsidP="008B4E3A">
      <w:pPr>
        <w:pStyle w:val="BodyText"/>
      </w:pPr>
      <w:r w:rsidRPr="00FD3EC4">
        <w:t>A</w:t>
      </w:r>
      <w:r w:rsidR="00243D57">
        <w:t>ny</w:t>
      </w:r>
      <w:r w:rsidRPr="00FD3EC4">
        <w:t xml:space="preserve"> public official can make a voluntary PID</w:t>
      </w:r>
      <w:r w:rsidR="009A3437">
        <w:t xml:space="preserve"> </w:t>
      </w:r>
      <w:r w:rsidR="00337EF3">
        <w:t>—</w:t>
      </w:r>
      <w:r w:rsidR="009A3437">
        <w:t xml:space="preserve"> see ‘Who this policy applies to’</w:t>
      </w:r>
      <w:r w:rsidRPr="00FD3EC4">
        <w:t xml:space="preserve">. </w:t>
      </w:r>
      <w:r w:rsidR="00B34500">
        <w:t>You are a public official if:</w:t>
      </w:r>
    </w:p>
    <w:p w14:paraId="02E68C1B" w14:textId="2BB5B24B" w:rsidR="00B34500" w:rsidRPr="008B4E3A" w:rsidRDefault="00D023FA" w:rsidP="008B4E3A">
      <w:pPr>
        <w:pStyle w:val="ListParagraph"/>
      </w:pPr>
      <w:r w:rsidRPr="008B4E3A">
        <w:t xml:space="preserve">you </w:t>
      </w:r>
      <w:r w:rsidR="00924AF4" w:rsidRPr="008B4E3A">
        <w:t xml:space="preserve">are employed by </w:t>
      </w:r>
      <w:r w:rsidR="00CD3964" w:rsidRPr="008B4E3A">
        <w:t>[</w:t>
      </w:r>
      <w:r w:rsidRPr="008B4E3A">
        <w:t>agency name]</w:t>
      </w:r>
    </w:p>
    <w:p w14:paraId="5F3FF441" w14:textId="4AFF29F3" w:rsidR="00F778C3" w:rsidRPr="00EA61D0" w:rsidRDefault="004E180E" w:rsidP="008969E6">
      <w:pPr>
        <w:pStyle w:val="ListParagraph"/>
        <w:numPr>
          <w:ilvl w:val="0"/>
          <w:numId w:val="1"/>
        </w:numPr>
      </w:pPr>
      <w:r>
        <w:lastRenderedPageBreak/>
        <w:t xml:space="preserve">you </w:t>
      </w:r>
      <w:r w:rsidR="00D023FA" w:rsidRPr="00B34500">
        <w:t>are a contractor</w:t>
      </w:r>
      <w:r w:rsidR="00B34500">
        <w:t>,</w:t>
      </w:r>
      <w:r w:rsidR="00B950BA">
        <w:t xml:space="preserve"> subcontractor or volunteer </w:t>
      </w:r>
      <w:r w:rsidR="00D023FA" w:rsidRPr="00B34500">
        <w:t xml:space="preserve">who </w:t>
      </w:r>
      <w:r w:rsidR="00B950BA">
        <w:t>provides services</w:t>
      </w:r>
      <w:r w:rsidR="00B600EC">
        <w:t>, or</w:t>
      </w:r>
      <w:r w:rsidR="00B950BA">
        <w:t xml:space="preserve"> exercises functions</w:t>
      </w:r>
      <w:r w:rsidR="00B600EC">
        <w:t>,</w:t>
      </w:r>
      <w:r w:rsidR="00B950BA">
        <w:t xml:space="preserve"> </w:t>
      </w:r>
      <w:r w:rsidR="00AC2303">
        <w:t>on behalf of</w:t>
      </w:r>
      <w:r w:rsidR="00D023FA" w:rsidRPr="00B34500">
        <w:t xml:space="preserve"> </w:t>
      </w:r>
      <w:r w:rsidR="00CD3964">
        <w:t>[</w:t>
      </w:r>
      <w:r w:rsidR="00D023FA" w:rsidRPr="00B34500">
        <w:t>agency name]</w:t>
      </w:r>
      <w:r>
        <w:t>,</w:t>
      </w:r>
      <w:r w:rsidR="00D023FA" w:rsidRPr="00B34500">
        <w:t xml:space="preserve"> or </w:t>
      </w:r>
    </w:p>
    <w:p w14:paraId="0B8D7EF5" w14:textId="77A31AE6" w:rsidR="00B458AC" w:rsidRPr="00F778C3" w:rsidRDefault="00B458AC" w:rsidP="008969E6">
      <w:pPr>
        <w:pStyle w:val="ListParagraph"/>
        <w:numPr>
          <w:ilvl w:val="0"/>
          <w:numId w:val="1"/>
        </w:numPr>
      </w:pPr>
      <w:r w:rsidRPr="00B458AC">
        <w:t>you work for an entity (such as a</w:t>
      </w:r>
      <w:r w:rsidR="004E180E">
        <w:t xml:space="preserve"> non-governme</w:t>
      </w:r>
      <w:r w:rsidR="00B73222">
        <w:t>n</w:t>
      </w:r>
      <w:r w:rsidR="004E180E">
        <w:t>t organisation</w:t>
      </w:r>
      <w:r w:rsidRPr="00B458AC">
        <w:t xml:space="preserve">) who is contracted by </w:t>
      </w:r>
      <w:r w:rsidR="00CD3964">
        <w:t>[</w:t>
      </w:r>
      <w:r w:rsidRPr="00B458AC">
        <w:t xml:space="preserve">agency name] to provide services or exercise functions on behalf of </w:t>
      </w:r>
      <w:r w:rsidR="00CD3964">
        <w:t>[</w:t>
      </w:r>
      <w:r w:rsidRPr="00B458AC">
        <w:t xml:space="preserve">agency name] </w:t>
      </w:r>
      <w:r w:rsidR="00337EF3">
        <w:t>—</w:t>
      </w:r>
      <w:r w:rsidR="006112AF">
        <w:t xml:space="preserve"> </w:t>
      </w:r>
      <w:r w:rsidRPr="00B458AC">
        <w:t>if you are involved in undertaking th</w:t>
      </w:r>
      <w:r w:rsidR="006112AF">
        <w:t>at</w:t>
      </w:r>
      <w:r w:rsidRPr="00B458AC">
        <w:t xml:space="preserve"> contracted work</w:t>
      </w:r>
      <w:r w:rsidR="00840BC9">
        <w:t xml:space="preserve">. </w:t>
      </w:r>
    </w:p>
    <w:p w14:paraId="27E9547E" w14:textId="4612E596" w:rsidR="001D2F0F" w:rsidRPr="008B4E3A" w:rsidRDefault="00B458AC" w:rsidP="008B4E3A">
      <w:pPr>
        <w:pStyle w:val="BodyText"/>
      </w:pPr>
      <w:r w:rsidRPr="00F778C3">
        <w:t xml:space="preserve">A public official can make a PID about serious wrongdoing relating to </w:t>
      </w:r>
      <w:r w:rsidRPr="00F778C3">
        <w:rPr>
          <w:i/>
          <w:iCs/>
        </w:rPr>
        <w:t>any</w:t>
      </w:r>
      <w:r w:rsidRPr="00F778C3">
        <w:t xml:space="preserve"> agency, not just the agency they are working for. This means that we may receive PIDs from public officials outside our agency. It also means that you can make a PID to any agency, including an integrity agency</w:t>
      </w:r>
      <w:r w:rsidRPr="00B458AC">
        <w:rPr>
          <w:color w:val="000000"/>
          <w:sz w:val="21"/>
          <w:szCs w:val="21"/>
          <w:shd w:val="clear" w:color="auto" w:fill="FFFFFF"/>
        </w:rPr>
        <w:t xml:space="preserve"> </w:t>
      </w:r>
      <w:r w:rsidRPr="00B458AC">
        <w:t xml:space="preserve">like </w:t>
      </w:r>
      <w:r w:rsidR="004E180E">
        <w:t xml:space="preserve">the </w:t>
      </w:r>
      <w:r w:rsidR="00DC2F30">
        <w:t>Independent Commission Against Corruption (</w:t>
      </w:r>
      <w:r w:rsidRPr="0093701F">
        <w:rPr>
          <w:b/>
          <w:bCs/>
        </w:rPr>
        <w:t>ICAC</w:t>
      </w:r>
      <w:r w:rsidR="00DC2F30">
        <w:t>)</w:t>
      </w:r>
      <w:r w:rsidRPr="00B458AC">
        <w:t xml:space="preserve"> and the NSW Ombudsman. Annexure B </w:t>
      </w:r>
      <w:r w:rsidR="001A5AEE">
        <w:t>of</w:t>
      </w:r>
      <w:r w:rsidRPr="00B458AC">
        <w:t xml:space="preserve"> this policy has a list of integrity agencies.</w:t>
      </w:r>
    </w:p>
    <w:p w14:paraId="0E28F180" w14:textId="77777777" w:rsidR="001D2F0F" w:rsidRPr="00833509" w:rsidRDefault="001D2F0F" w:rsidP="00833509">
      <w:pPr>
        <w:rPr>
          <w:rFonts w:ascii="Arial" w:hAnsi="Arial" w:cs="Arial"/>
        </w:rPr>
      </w:pPr>
    </w:p>
    <w:tbl>
      <w:tblPr>
        <w:tblStyle w:val="TableGrid"/>
        <w:tblW w:w="0" w:type="auto"/>
        <w:tblLook w:val="04A0" w:firstRow="1" w:lastRow="0" w:firstColumn="1" w:lastColumn="0" w:noHBand="0" w:noVBand="1"/>
      </w:tblPr>
      <w:tblGrid>
        <w:gridCol w:w="8898"/>
      </w:tblGrid>
      <w:tr w:rsidR="001D2F0F" w14:paraId="756407D2" w14:textId="77777777" w:rsidTr="008B4E3A">
        <w:tc>
          <w:tcPr>
            <w:tcW w:w="9060" w:type="dxa"/>
            <w:tcBorders>
              <w:top w:val="single" w:sz="4" w:space="0" w:color="0A4047"/>
              <w:left w:val="single" w:sz="4" w:space="0" w:color="0A4047"/>
              <w:bottom w:val="single" w:sz="4" w:space="0" w:color="0A4047"/>
              <w:right w:val="single" w:sz="4" w:space="0" w:color="0A4047"/>
            </w:tcBorders>
            <w:shd w:val="clear" w:color="auto" w:fill="CEDDD4"/>
          </w:tcPr>
          <w:p w14:paraId="596C2154" w14:textId="31400FE7" w:rsidR="001D2F0F" w:rsidRDefault="000A7D1A" w:rsidP="008B4E3A">
            <w:pPr>
              <w:pStyle w:val="Notestyle"/>
            </w:pPr>
            <w:r w:rsidRPr="001036E3">
              <w:rPr>
                <w:b/>
                <w:iCs w:val="0"/>
              </w:rPr>
              <w:t>Guidance</w:t>
            </w:r>
            <w:r w:rsidR="001D2F0F" w:rsidRPr="001036E3">
              <w:rPr>
                <w:iCs w:val="0"/>
              </w:rPr>
              <w:t>:</w:t>
            </w:r>
            <w:r w:rsidR="001D2F0F">
              <w:t xml:space="preserve"> Agencies should edit this text so that it covers all public officials associated with the agency and makes sense to people who work in the agency.</w:t>
            </w:r>
          </w:p>
          <w:p w14:paraId="629A14F9" w14:textId="01AECF30" w:rsidR="001D2F0F" w:rsidRDefault="001D2F0F" w:rsidP="008B4E3A">
            <w:pPr>
              <w:pStyle w:val="Notestyle"/>
            </w:pPr>
            <w:r>
              <w:t xml:space="preserve">Agencies can include specific types of public officials </w:t>
            </w:r>
            <w:r w:rsidR="00D43ED9">
              <w:t>that</w:t>
            </w:r>
            <w:r>
              <w:t xml:space="preserve"> they have in their agency or who are associated with their agency and examples to explain the concept.</w:t>
            </w:r>
          </w:p>
          <w:p w14:paraId="0650EB07" w14:textId="79C7A829" w:rsidR="001D2F0F" w:rsidRDefault="001D2F0F" w:rsidP="008B4E3A">
            <w:pPr>
              <w:pStyle w:val="Notestyle"/>
            </w:pPr>
            <w:r>
              <w:t>For example, they may have a practice of engaging private entities to carry out their functions to the extent that it warrants being highlighted in the policy. A full list of who is a public official is found in s</w:t>
            </w:r>
            <w:r w:rsidR="00337EF3">
              <w:t>ection</w:t>
            </w:r>
            <w:r>
              <w:t xml:space="preserve"> 14 of the Act. Further guidance can be found in the Ombudsman’s guideline </w:t>
            </w:r>
            <w:r w:rsidR="00230082">
              <w:t>‘</w:t>
            </w:r>
            <w:r>
              <w:t>Core concepts in the PID A</w:t>
            </w:r>
            <w:r w:rsidR="00230082">
              <w:t>c</w:t>
            </w:r>
            <w:r>
              <w:t>t</w:t>
            </w:r>
            <w:r w:rsidR="00230082">
              <w:t>’</w:t>
            </w:r>
            <w:r w:rsidR="00337EF3">
              <w:t>.</w:t>
            </w:r>
          </w:p>
          <w:p w14:paraId="2D10F5DB" w14:textId="4BF61576" w:rsidR="00116AC5" w:rsidRDefault="001D2F0F" w:rsidP="008B4E3A">
            <w:pPr>
              <w:pStyle w:val="Notestyle"/>
            </w:pPr>
            <w:r>
              <w:t xml:space="preserve">If the agency engages consultants to assist the agency with their work, it should be noted </w:t>
            </w:r>
            <w:r w:rsidR="00F065A2">
              <w:br/>
            </w:r>
            <w:r>
              <w:t xml:space="preserve">that these consultants are not considered public officials under the PID Act. </w:t>
            </w:r>
          </w:p>
          <w:p w14:paraId="74156F84" w14:textId="22CDBF5D" w:rsidR="001D2F0F" w:rsidRDefault="001D2F0F" w:rsidP="008B4E3A">
            <w:pPr>
              <w:pStyle w:val="Notestyle"/>
            </w:pPr>
            <w:r>
              <w:t xml:space="preserve">This section should be consistent with the section of this policy </w:t>
            </w:r>
            <w:r w:rsidR="00867467">
              <w:t>‘</w:t>
            </w:r>
            <w:r>
              <w:t xml:space="preserve">Who does this policy </w:t>
            </w:r>
            <w:r w:rsidR="00F065A2">
              <w:br/>
            </w:r>
            <w:r>
              <w:t>apply to?</w:t>
            </w:r>
            <w:r w:rsidR="00867467">
              <w:t>’</w:t>
            </w:r>
            <w:r w:rsidR="004C2C88">
              <w:t>.</w:t>
            </w:r>
          </w:p>
        </w:tc>
      </w:tr>
    </w:tbl>
    <w:p w14:paraId="3E76067D" w14:textId="77777777" w:rsidR="00FD3EC4" w:rsidRPr="00FD3EC4" w:rsidRDefault="00FD3EC4" w:rsidP="00B458AC"/>
    <w:p w14:paraId="63CA1525" w14:textId="3B0DB19D" w:rsidR="00321E78" w:rsidRPr="00D52419" w:rsidRDefault="000A6B30" w:rsidP="000A6B30">
      <w:pPr>
        <w:pStyle w:val="Heading3"/>
        <w:ind w:left="567" w:hanging="567"/>
      </w:pPr>
      <w:bookmarkStart w:id="125" w:name="_Toc140251719"/>
      <w:r>
        <w:t>(d)</w:t>
      </w:r>
      <w:r>
        <w:tab/>
      </w:r>
      <w:r w:rsidR="00CB01BD">
        <w:t>What is serious wrongdoing</w:t>
      </w:r>
      <w:r w:rsidR="00FD3EC4" w:rsidRPr="00D52419">
        <w:t>?</w:t>
      </w:r>
      <w:bookmarkEnd w:id="125"/>
    </w:p>
    <w:p w14:paraId="4FA80E69" w14:textId="17D560B3" w:rsidR="00FD3EC4" w:rsidRPr="00FD3EC4" w:rsidRDefault="00CB01BD" w:rsidP="008B4E3A">
      <w:pPr>
        <w:pStyle w:val="BodyText"/>
      </w:pPr>
      <w:r>
        <w:t xml:space="preserve">Reports must be of </w:t>
      </w:r>
      <w:r w:rsidR="00FD3EC4" w:rsidRPr="00FD3EC4">
        <w:t xml:space="preserve">one or more of the following categories of </w:t>
      </w:r>
      <w:r w:rsidR="00FD3EC4" w:rsidRPr="0093701F">
        <w:rPr>
          <w:i/>
          <w:iCs/>
        </w:rPr>
        <w:t>serious wrongdoing</w:t>
      </w:r>
      <w:r w:rsidR="009D7F3C" w:rsidRPr="0093701F">
        <w:rPr>
          <w:i/>
          <w:iCs/>
        </w:rPr>
        <w:t xml:space="preserve"> </w:t>
      </w:r>
      <w:r w:rsidR="009D7F3C" w:rsidRPr="00833509">
        <w:t xml:space="preserve">to be a voluntary PID (in addition to having the other </w:t>
      </w:r>
      <w:r w:rsidR="00ED4E37" w:rsidRPr="00833509">
        <w:t>features set out here)</w:t>
      </w:r>
      <w:r w:rsidR="00ED4E37" w:rsidRPr="00931261">
        <w:t>.</w:t>
      </w:r>
      <w:r w:rsidR="00ED4E37">
        <w:t xml:space="preserve"> Serious wrongdoing </w:t>
      </w:r>
      <w:r w:rsidR="00040834">
        <w:t>is defined in the</w:t>
      </w:r>
      <w:r w:rsidR="00ED4E37">
        <w:t xml:space="preserve"> PID Act </w:t>
      </w:r>
      <w:r w:rsidR="00040834">
        <w:t>a</w:t>
      </w:r>
      <w:r w:rsidR="00ED4E37">
        <w:t>s</w:t>
      </w:r>
      <w:r w:rsidR="00C05DC8">
        <w:t>:</w:t>
      </w:r>
    </w:p>
    <w:p w14:paraId="41691AD1" w14:textId="6B0F2D26" w:rsidR="00FD3EC4" w:rsidRPr="00FD3EC4" w:rsidRDefault="00FD3EC4" w:rsidP="008B4E3A">
      <w:pPr>
        <w:pStyle w:val="ListParagraph"/>
      </w:pPr>
      <w:r w:rsidRPr="0093701F">
        <w:rPr>
          <w:i/>
          <w:iCs/>
        </w:rPr>
        <w:t>corrupt conduct</w:t>
      </w:r>
      <w:r w:rsidRPr="00FD3EC4">
        <w:t xml:space="preserve"> </w:t>
      </w:r>
      <w:r w:rsidR="00337EF3">
        <w:t>—</w:t>
      </w:r>
      <w:r w:rsidRPr="00FD3EC4">
        <w:t xml:space="preserve"> such as a public official accepting a bribe</w:t>
      </w:r>
    </w:p>
    <w:p w14:paraId="78368962" w14:textId="0B44F60C" w:rsidR="00FD3EC4" w:rsidRPr="00FD3EC4" w:rsidRDefault="00FD3EC4" w:rsidP="008B4E3A">
      <w:pPr>
        <w:pStyle w:val="ListParagraph"/>
      </w:pPr>
      <w:r w:rsidRPr="0093701F">
        <w:rPr>
          <w:i/>
          <w:iCs/>
        </w:rPr>
        <w:t>serious maladministration</w:t>
      </w:r>
      <w:r w:rsidRPr="00FD3EC4">
        <w:t xml:space="preserve"> </w:t>
      </w:r>
      <w:r w:rsidR="00337EF3">
        <w:t>—</w:t>
      </w:r>
      <w:r w:rsidRPr="00FD3EC4">
        <w:t xml:space="preserve"> such as an agency </w:t>
      </w:r>
      <w:r w:rsidR="00F37597">
        <w:t xml:space="preserve">systemically </w:t>
      </w:r>
      <w:r w:rsidR="0084033B">
        <w:t xml:space="preserve">failing to </w:t>
      </w:r>
      <w:r w:rsidR="00844463">
        <w:t>comply with</w:t>
      </w:r>
      <w:r w:rsidRPr="00FD3EC4">
        <w:t xml:space="preserve"> proper </w:t>
      </w:r>
      <w:r w:rsidR="00DC3476">
        <w:t>recruitment</w:t>
      </w:r>
      <w:r w:rsidR="00DC3476" w:rsidRPr="00FD3EC4">
        <w:t xml:space="preserve"> </w:t>
      </w:r>
      <w:r w:rsidRPr="00FD3EC4">
        <w:t>processes when hiring staff</w:t>
      </w:r>
    </w:p>
    <w:p w14:paraId="5F415D0D" w14:textId="6663E601" w:rsidR="00FD3EC4" w:rsidRPr="00FD3EC4" w:rsidRDefault="00FD3EC4" w:rsidP="008B4E3A">
      <w:pPr>
        <w:pStyle w:val="ListParagraph"/>
      </w:pPr>
      <w:r w:rsidRPr="0093701F">
        <w:rPr>
          <w:i/>
          <w:iCs/>
        </w:rPr>
        <w:t>a government information contravention</w:t>
      </w:r>
      <w:r w:rsidRPr="00FD3EC4">
        <w:t xml:space="preserve"> </w:t>
      </w:r>
      <w:r w:rsidR="00337EF3">
        <w:t>—</w:t>
      </w:r>
      <w:r w:rsidRPr="00FD3EC4">
        <w:t xml:space="preserve"> such as destroying, concealing or altering records to prevent them from being released under a Government Information Public Access application</w:t>
      </w:r>
    </w:p>
    <w:p w14:paraId="699B9DA7" w14:textId="1C89ACE0" w:rsidR="00FD3EC4" w:rsidRPr="00FD3EC4" w:rsidRDefault="00FD3EC4" w:rsidP="008B4E3A">
      <w:pPr>
        <w:pStyle w:val="ListParagraph"/>
      </w:pPr>
      <w:r w:rsidRPr="0093701F">
        <w:rPr>
          <w:i/>
          <w:iCs/>
        </w:rPr>
        <w:t>a local government pecuniary interest contravention</w:t>
      </w:r>
      <w:r w:rsidRPr="00FD3EC4">
        <w:t xml:space="preserve"> </w:t>
      </w:r>
      <w:r w:rsidR="00337EF3">
        <w:t>—</w:t>
      </w:r>
      <w:r w:rsidRPr="00FD3EC4">
        <w:t xml:space="preserve"> such as a senior council staff member recommending a family member for a council contract and not declaring the relationship</w:t>
      </w:r>
    </w:p>
    <w:p w14:paraId="11FBF905" w14:textId="3AA96B8A" w:rsidR="00FD3EC4" w:rsidRPr="00FD3EC4" w:rsidRDefault="00FD3EC4" w:rsidP="008B4E3A">
      <w:pPr>
        <w:pStyle w:val="ListParagraph"/>
      </w:pPr>
      <w:r w:rsidRPr="0093701F">
        <w:rPr>
          <w:i/>
          <w:iCs/>
        </w:rPr>
        <w:t>a privacy contravention</w:t>
      </w:r>
      <w:r w:rsidRPr="00FD3EC4">
        <w:t xml:space="preserve"> </w:t>
      </w:r>
      <w:r w:rsidR="00337EF3">
        <w:t>—</w:t>
      </w:r>
      <w:r w:rsidRPr="00FD3EC4">
        <w:t xml:space="preserve"> such as unlawfully accessing a person’s personal information on an agency’s database</w:t>
      </w:r>
    </w:p>
    <w:p w14:paraId="795B3704" w14:textId="66184B07" w:rsidR="0028368B" w:rsidRDefault="00FD3EC4" w:rsidP="008B4E3A">
      <w:pPr>
        <w:pStyle w:val="ListParagraph"/>
        <w:ind w:right="-164"/>
      </w:pPr>
      <w:r w:rsidRPr="0093701F">
        <w:rPr>
          <w:i/>
          <w:iCs/>
        </w:rPr>
        <w:t>a serious and substantial waste of public money</w:t>
      </w:r>
      <w:r w:rsidRPr="00FD3EC4">
        <w:t xml:space="preserve"> </w:t>
      </w:r>
      <w:r w:rsidR="00337EF3">
        <w:t>—</w:t>
      </w:r>
      <w:r w:rsidRPr="00FD3EC4">
        <w:t xml:space="preserve"> </w:t>
      </w:r>
      <w:r w:rsidR="00E6059D">
        <w:t xml:space="preserve">such as </w:t>
      </w:r>
      <w:r w:rsidRPr="00FD3EC4">
        <w:t xml:space="preserve">an agency not following a competitive tendering process when contracting </w:t>
      </w:r>
      <w:r w:rsidR="00F9540A">
        <w:t xml:space="preserve">with </w:t>
      </w:r>
      <w:r w:rsidRPr="00FD3EC4">
        <w:t>entities to undertake government work.</w:t>
      </w:r>
    </w:p>
    <w:p w14:paraId="43BCCA2F" w14:textId="0EA69C4B" w:rsidR="00466AB2" w:rsidRDefault="00F97F81" w:rsidP="008B4E3A">
      <w:pPr>
        <w:pStyle w:val="BodyText"/>
      </w:pPr>
      <w:r w:rsidRPr="00833509">
        <w:t xml:space="preserve">When you make your report, you do not need to state to </w:t>
      </w:r>
      <w:r w:rsidR="00CD3964">
        <w:t>[</w:t>
      </w:r>
      <w:r w:rsidRPr="00833509">
        <w:t>us</w:t>
      </w:r>
      <w:r w:rsidR="00C05DC8">
        <w:t xml:space="preserve">/agency name] </w:t>
      </w:r>
      <w:r w:rsidRPr="00833509">
        <w:t xml:space="preserve">what </w:t>
      </w:r>
      <w:r w:rsidR="00125A22" w:rsidRPr="00833509">
        <w:t>category</w:t>
      </w:r>
      <w:r w:rsidRPr="00833509">
        <w:t xml:space="preserve"> of serious wrongdoing you are reporting</w:t>
      </w:r>
      <w:r w:rsidR="00125A22" w:rsidRPr="00833509">
        <w:t xml:space="preserve"> or that you are reporting serious wrongdoing.</w:t>
      </w:r>
      <w:r w:rsidR="00125A22" w:rsidRPr="00125A22">
        <w:t xml:space="preserve"> </w:t>
      </w:r>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tblLook w:val="04A0" w:firstRow="1" w:lastRow="0" w:firstColumn="1" w:lastColumn="0" w:noHBand="0" w:noVBand="1"/>
      </w:tblPr>
      <w:tblGrid>
        <w:gridCol w:w="8898"/>
      </w:tblGrid>
      <w:tr w:rsidR="001D2F0F" w14:paraId="7BCF410E" w14:textId="77777777" w:rsidTr="00DB26F0">
        <w:tc>
          <w:tcPr>
            <w:tcW w:w="9060" w:type="dxa"/>
            <w:shd w:val="clear" w:color="auto" w:fill="CEDDD4"/>
          </w:tcPr>
          <w:p w14:paraId="4796B5F5" w14:textId="72CAB83C" w:rsidR="001D2F0F" w:rsidRDefault="000A7D1A" w:rsidP="008B4E3A">
            <w:pPr>
              <w:pStyle w:val="Notestyle"/>
              <w:shd w:val="clear" w:color="auto" w:fill="CEDDD4"/>
            </w:pPr>
            <w:r w:rsidRPr="001036E3">
              <w:rPr>
                <w:b/>
                <w:iCs w:val="0"/>
              </w:rPr>
              <w:lastRenderedPageBreak/>
              <w:t>Guidance</w:t>
            </w:r>
            <w:r w:rsidR="001D2F0F" w:rsidRPr="001036E3">
              <w:rPr>
                <w:iCs w:val="0"/>
              </w:rPr>
              <w:t>:</w:t>
            </w:r>
            <w:r w:rsidR="001D2F0F">
              <w:rPr>
                <w:b/>
              </w:rPr>
              <w:t xml:space="preserve"> </w:t>
            </w:r>
            <w:r w:rsidR="001D2F0F" w:rsidRPr="00A07404">
              <w:t xml:space="preserve">Agencies should </w:t>
            </w:r>
            <w:r w:rsidR="001D2F0F" w:rsidRPr="00E316B3">
              <w:t xml:space="preserve">consider </w:t>
            </w:r>
            <w:r w:rsidR="001D2F0F">
              <w:t>providing</w:t>
            </w:r>
            <w:r w:rsidR="001D2F0F" w:rsidRPr="00E316B3">
              <w:t xml:space="preserve"> examples of serious wrongdoing that are more directly linked to the work undertaken by the agency.</w:t>
            </w:r>
            <w:r w:rsidR="001D2F0F">
              <w:t xml:space="preserve"> Agencies may also reference the Ombudsman’s guideline ‘</w:t>
            </w:r>
            <w:r w:rsidR="0053347F">
              <w:t>W</w:t>
            </w:r>
            <w:r w:rsidR="001D2F0F">
              <w:t>hat is serious wrongdoing?’</w:t>
            </w:r>
          </w:p>
        </w:tc>
      </w:tr>
    </w:tbl>
    <w:p w14:paraId="31E697BC" w14:textId="77777777" w:rsidR="00FD3EC4" w:rsidRDefault="00FD3EC4" w:rsidP="008B4E3A">
      <w:pPr>
        <w:rPr>
          <w:rFonts w:ascii="Arial" w:hAnsi="Arial" w:cs="Arial"/>
        </w:rPr>
      </w:pPr>
    </w:p>
    <w:p w14:paraId="71289D22" w14:textId="2B19CCBE" w:rsidR="00FD3EC4" w:rsidRPr="00D52419" w:rsidRDefault="00FD3EC4" w:rsidP="00E3369E">
      <w:pPr>
        <w:pStyle w:val="Heading3"/>
        <w:numPr>
          <w:ilvl w:val="0"/>
          <w:numId w:val="15"/>
        </w:numPr>
        <w:ind w:left="567" w:hanging="567"/>
      </w:pPr>
      <w:bookmarkStart w:id="126" w:name="_Toc140251720"/>
      <w:r w:rsidRPr="00D52419">
        <w:t xml:space="preserve">Who can </w:t>
      </w:r>
      <w:r w:rsidR="009A555F" w:rsidRPr="00D52419">
        <w:t>I make a voluntary PID to</w:t>
      </w:r>
      <w:r w:rsidRPr="00D52419">
        <w:t>?</w:t>
      </w:r>
      <w:bookmarkEnd w:id="126"/>
    </w:p>
    <w:p w14:paraId="10247BDC" w14:textId="7F32E912" w:rsidR="000B4FA2" w:rsidRDefault="001537B6" w:rsidP="008B4E3A">
      <w:pPr>
        <w:pStyle w:val="BodyText"/>
      </w:pPr>
      <w:r>
        <w:t>F</w:t>
      </w:r>
      <w:r w:rsidR="002B4AD5">
        <w:t>or a report to be a voluntary P</w:t>
      </w:r>
      <w:r w:rsidR="00BA03B1">
        <w:t>ID</w:t>
      </w:r>
      <w:r w:rsidR="002435A6">
        <w:t>,</w:t>
      </w:r>
      <w:r w:rsidR="00BA03B1">
        <w:t xml:space="preserve"> it must be made to certain public officials.</w:t>
      </w:r>
    </w:p>
    <w:p w14:paraId="7449BA32" w14:textId="306B3621" w:rsidR="006E4212" w:rsidRPr="00FF23A4" w:rsidRDefault="006E4212" w:rsidP="00FF23A4">
      <w:pPr>
        <w:pStyle w:val="Heading4"/>
      </w:pPr>
      <w:r w:rsidRPr="00FF23A4">
        <w:t xml:space="preserve">Making a </w:t>
      </w:r>
      <w:r w:rsidR="00E84E58" w:rsidRPr="00FF23A4">
        <w:t xml:space="preserve">report </w:t>
      </w:r>
      <w:r w:rsidRPr="00FF23A4">
        <w:t>to a public official who works for [agency name]</w:t>
      </w:r>
    </w:p>
    <w:p w14:paraId="3B145223" w14:textId="368408C1" w:rsidR="00D7529D" w:rsidRPr="00CF10E0" w:rsidRDefault="00011D1D" w:rsidP="00FF23A4">
      <w:pPr>
        <w:pStyle w:val="BodyText"/>
      </w:pPr>
      <w:r>
        <w:t xml:space="preserve">You can make a </w:t>
      </w:r>
      <w:r w:rsidR="00E84E58">
        <w:t xml:space="preserve">report </w:t>
      </w:r>
      <w:r w:rsidR="002B4AD5">
        <w:t>inside [agency name]</w:t>
      </w:r>
      <w:r w:rsidR="002D269B">
        <w:t xml:space="preserve"> to</w:t>
      </w:r>
      <w:r w:rsidR="00CF10E0" w:rsidRPr="00CF10E0">
        <w:t>:</w:t>
      </w:r>
    </w:p>
    <w:p w14:paraId="0D307DAA" w14:textId="595AAA11" w:rsidR="00CF10E0" w:rsidRPr="00CF10E0" w:rsidRDefault="00D7529D" w:rsidP="00FF23A4">
      <w:pPr>
        <w:pStyle w:val="ListParagraph"/>
      </w:pPr>
      <w:r w:rsidRPr="003535AD">
        <w:t>[head of agency</w:t>
      </w:r>
      <w:r w:rsidR="00CF10E0" w:rsidRPr="003535AD">
        <w:t>]</w:t>
      </w:r>
    </w:p>
    <w:p w14:paraId="0B458142" w14:textId="4FD5F015" w:rsidR="00CF10E0" w:rsidRPr="00CF10E0" w:rsidRDefault="00867467" w:rsidP="00FF23A4">
      <w:pPr>
        <w:pStyle w:val="ListParagraph"/>
      </w:pPr>
      <w:r>
        <w:t>a</w:t>
      </w:r>
      <w:r w:rsidR="00CF10E0" w:rsidRPr="00CF10E0">
        <w:t xml:space="preserve"> disclosure officer for </w:t>
      </w:r>
      <w:r w:rsidR="00614AAC">
        <w:t>[agency name]</w:t>
      </w:r>
      <w:r w:rsidR="000C5C56">
        <w:t xml:space="preserve"> —</w:t>
      </w:r>
      <w:r w:rsidR="00CF10E0" w:rsidRPr="00CF10E0">
        <w:t xml:space="preserve"> </w:t>
      </w:r>
      <w:r w:rsidR="00CF10E0">
        <w:t>a list of disclosure officers for [agency name]</w:t>
      </w:r>
      <w:r w:rsidR="00011D1D">
        <w:t xml:space="preserve"> and their contact details</w:t>
      </w:r>
      <w:r w:rsidR="00CF10E0">
        <w:t xml:space="preserve"> can be found at </w:t>
      </w:r>
      <w:r w:rsidR="003535AD">
        <w:t>Annexure A of this policy</w:t>
      </w:r>
    </w:p>
    <w:p w14:paraId="2E92C38E" w14:textId="3940680A" w:rsidR="00713614" w:rsidRDefault="00867467" w:rsidP="00FF23A4">
      <w:pPr>
        <w:pStyle w:val="ListParagraph"/>
      </w:pPr>
      <w:r>
        <w:t>y</w:t>
      </w:r>
      <w:r w:rsidR="00713614">
        <w:t>our manager</w:t>
      </w:r>
      <w:r w:rsidR="00381304">
        <w:t xml:space="preserve"> </w:t>
      </w:r>
      <w:r w:rsidR="000C5C56">
        <w:t>—</w:t>
      </w:r>
      <w:r w:rsidR="00381304">
        <w:t xml:space="preserve"> this is the person who directly, or indirectly, supervises you. It can also be the person who you directly, or indirectly, report to.</w:t>
      </w:r>
      <w:r w:rsidR="00D12D40">
        <w:t xml:space="preserve"> </w:t>
      </w:r>
      <w:r w:rsidR="0015457C">
        <w:t xml:space="preserve">You may have more than one manager. </w:t>
      </w:r>
      <w:r w:rsidR="00D12D40">
        <w:t xml:space="preserve">Your manager will make sure that the </w:t>
      </w:r>
      <w:r w:rsidR="004117DE">
        <w:t>report</w:t>
      </w:r>
      <w:r w:rsidR="00D12D40">
        <w:t xml:space="preserve"> is communicated to a disclosure officer on your behalf or may accompany you while you </w:t>
      </w:r>
      <w:r w:rsidR="007D74C2">
        <w:t xml:space="preserve">make the </w:t>
      </w:r>
      <w:r w:rsidR="004117DE">
        <w:t>report</w:t>
      </w:r>
      <w:r w:rsidR="007D74C2">
        <w:t xml:space="preserve"> to a disclosure officer.</w:t>
      </w:r>
    </w:p>
    <w:p w14:paraId="449CA773" w14:textId="77777777" w:rsidR="001A5404" w:rsidRDefault="001A5404" w:rsidP="00833509">
      <w:pPr>
        <w:ind w:left="720"/>
        <w:rPr>
          <w:rFonts w:ascii="Arial" w:hAnsi="Arial" w:cs="Arial"/>
        </w:rPr>
      </w:pP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shd w:val="clear" w:color="auto" w:fill="CEDDD4"/>
        <w:tblLook w:val="04A0" w:firstRow="1" w:lastRow="0" w:firstColumn="1" w:lastColumn="0" w:noHBand="0" w:noVBand="1"/>
      </w:tblPr>
      <w:tblGrid>
        <w:gridCol w:w="8903"/>
      </w:tblGrid>
      <w:tr w:rsidR="001A5404" w14:paraId="3484567B" w14:textId="77777777" w:rsidTr="00FF23A4">
        <w:trPr>
          <w:trHeight w:val="6080"/>
        </w:trPr>
        <w:tc>
          <w:tcPr>
            <w:tcW w:w="9065" w:type="dxa"/>
            <w:shd w:val="clear" w:color="auto" w:fill="CEDDD4"/>
          </w:tcPr>
          <w:p w14:paraId="10F7029F" w14:textId="76E42750" w:rsidR="001A5404" w:rsidRDefault="000A7D1A" w:rsidP="00FF23A4">
            <w:pPr>
              <w:pStyle w:val="Notestyle"/>
            </w:pPr>
            <w:r w:rsidRPr="001036E3">
              <w:rPr>
                <w:b/>
                <w:iCs w:val="0"/>
              </w:rPr>
              <w:t>Guidance</w:t>
            </w:r>
            <w:r w:rsidR="001A5404" w:rsidRPr="001036E3">
              <w:rPr>
                <w:iCs w:val="0"/>
              </w:rPr>
              <w:t>:</w:t>
            </w:r>
            <w:r w:rsidR="001A5404" w:rsidRPr="00A35A4C">
              <w:t xml:space="preserve"> </w:t>
            </w:r>
            <w:r w:rsidR="001A5404">
              <w:t>If an agency has arranged for an entity to receive voluntary PIDs under s</w:t>
            </w:r>
            <w:r w:rsidR="00337EF3">
              <w:t>ection</w:t>
            </w:r>
            <w:r w:rsidR="001A5404">
              <w:t xml:space="preserve"> 81(3)(a) </w:t>
            </w:r>
            <w:r w:rsidR="004B6CBE">
              <w:t>of the PID Act</w:t>
            </w:r>
            <w:r w:rsidR="00867467">
              <w:t>,</w:t>
            </w:r>
            <w:r w:rsidR="001A5404">
              <w:t xml:space="preserve"> this should be recorded here as a reporting pathway.</w:t>
            </w:r>
          </w:p>
          <w:p w14:paraId="1192DE88" w14:textId="1F292F63" w:rsidR="001A5404" w:rsidRPr="00FF23A4" w:rsidRDefault="001A5404" w:rsidP="00FF23A4">
            <w:pPr>
              <w:pStyle w:val="Notestyle"/>
            </w:pPr>
            <w:r w:rsidRPr="008D7582">
              <w:t>T</w:t>
            </w:r>
            <w:r w:rsidRPr="00A35A4C">
              <w:t>here are different meanings of manager for different types of public officials</w:t>
            </w:r>
            <w:r w:rsidR="00337EF3">
              <w:t xml:space="preserve"> under section 15 of the</w:t>
            </w:r>
            <w:r>
              <w:t xml:space="preserve"> PID Act</w:t>
            </w:r>
            <w:r w:rsidRPr="00A35A4C">
              <w:t xml:space="preserve">. </w:t>
            </w:r>
            <w:r>
              <w:t>Guidance should be provided on who a manager is for the employees of the agency:</w:t>
            </w:r>
          </w:p>
          <w:p w14:paraId="4A6FBFAD" w14:textId="7F8A30B9" w:rsidR="001A5404" w:rsidRPr="00B56E80" w:rsidRDefault="003E428C" w:rsidP="00FF23A4">
            <w:pPr>
              <w:pStyle w:val="notestylebullets"/>
            </w:pPr>
            <w:r>
              <w:t>f</w:t>
            </w:r>
            <w:r w:rsidR="001A5404" w:rsidRPr="00B56E80">
              <w:t xml:space="preserve">or a public official who is a </w:t>
            </w:r>
            <w:r w:rsidR="001A5404" w:rsidRPr="0093701F">
              <w:rPr>
                <w:i/>
              </w:rPr>
              <w:t>police officer</w:t>
            </w:r>
            <w:r w:rsidR="001A5404" w:rsidRPr="00B56E80">
              <w:t xml:space="preserve"> </w:t>
            </w:r>
            <w:r w:rsidR="00337EF3">
              <w:t>—</w:t>
            </w:r>
            <w:r w:rsidR="001A5404" w:rsidRPr="00B56E80">
              <w:t xml:space="preserve"> a police officer who is of the rank of sergeant or above and is more senior in rank than the public official</w:t>
            </w:r>
          </w:p>
          <w:p w14:paraId="3C19397F" w14:textId="6623CDB2" w:rsidR="001A5404" w:rsidRPr="00B56E80" w:rsidRDefault="003E428C" w:rsidP="00FF23A4">
            <w:pPr>
              <w:pStyle w:val="notestylebullets"/>
            </w:pPr>
            <w:r>
              <w:t>f</w:t>
            </w:r>
            <w:r w:rsidR="001A5404" w:rsidRPr="00B56E80">
              <w:t xml:space="preserve">or a person employed under the </w:t>
            </w:r>
            <w:r w:rsidR="001A5404" w:rsidRPr="0093701F">
              <w:rPr>
                <w:i/>
              </w:rPr>
              <w:t>Members of Parliament Staff Act 2013</w:t>
            </w:r>
            <w:r w:rsidR="001A5404" w:rsidRPr="00B56E80">
              <w:t xml:space="preserve"> </w:t>
            </w:r>
            <w:r w:rsidR="00337EF3">
              <w:t>—</w:t>
            </w:r>
            <w:r w:rsidR="001A5404" w:rsidRPr="00B56E80">
              <w:t xml:space="preserve"> the chief of staff of the political office holder or </w:t>
            </w:r>
            <w:r w:rsidR="00571451">
              <w:t>M</w:t>
            </w:r>
            <w:r w:rsidR="001A5404" w:rsidRPr="00B56E80">
              <w:t>ember of Parliament by whom the person is employed</w:t>
            </w:r>
          </w:p>
          <w:p w14:paraId="2EBF9B53" w14:textId="474700A1" w:rsidR="001A5404" w:rsidRPr="00B56E80" w:rsidRDefault="0043141C" w:rsidP="00FF23A4">
            <w:pPr>
              <w:pStyle w:val="notestylebullets"/>
            </w:pPr>
            <w:r>
              <w:t>f</w:t>
            </w:r>
            <w:r w:rsidR="001A5404" w:rsidRPr="00B56E80">
              <w:t xml:space="preserve">or a public official who is a person </w:t>
            </w:r>
            <w:r w:rsidR="001A5404" w:rsidRPr="0093701F">
              <w:rPr>
                <w:i/>
              </w:rPr>
              <w:t>providing services or exercising functions on behalf of an agency</w:t>
            </w:r>
            <w:r w:rsidR="001A5404" w:rsidRPr="00B56E80">
              <w:t xml:space="preserve"> (including </w:t>
            </w:r>
            <w:r w:rsidR="001A5404" w:rsidRPr="0043141C">
              <w:t xml:space="preserve">a </w:t>
            </w:r>
            <w:r w:rsidR="001A5404" w:rsidRPr="0093701F">
              <w:t>contractor, subcontractor or volunteer</w:t>
            </w:r>
            <w:r w:rsidR="001A5404" w:rsidRPr="00B56E80">
              <w:t>) or an employee, partner or officer of an entity that provides services on behalf of an agency or exercise</w:t>
            </w:r>
            <w:r w:rsidR="00364C20">
              <w:t>s</w:t>
            </w:r>
            <w:r w:rsidR="001A5404" w:rsidRPr="00B56E80">
              <w:t xml:space="preserve"> functions of an agency </w:t>
            </w:r>
            <w:r w:rsidR="00867467">
              <w:t>—</w:t>
            </w:r>
            <w:r w:rsidR="001A5404" w:rsidRPr="009A0998">
              <w:t xml:space="preserve"> their manager is taken to be the public official in that agency who oversees those services or functions, or who manages the relevant contract or volunteering arrangement</w:t>
            </w:r>
          </w:p>
          <w:p w14:paraId="07B67EFF" w14:textId="2C52C472" w:rsidR="001A5404" w:rsidRPr="009A0998" w:rsidRDefault="0043141C" w:rsidP="00FF23A4">
            <w:pPr>
              <w:pStyle w:val="notestylebullets"/>
            </w:pPr>
            <w:r>
              <w:t>f</w:t>
            </w:r>
            <w:r w:rsidR="001A5404" w:rsidRPr="009A0998">
              <w:t xml:space="preserve">or a person </w:t>
            </w:r>
            <w:r w:rsidR="001A5404" w:rsidRPr="0093701F">
              <w:rPr>
                <w:i/>
              </w:rPr>
              <w:t>declared to be a public official in the PID Regulations</w:t>
            </w:r>
            <w:r w:rsidR="001A5404" w:rsidRPr="009A0998">
              <w:t xml:space="preserve"> </w:t>
            </w:r>
            <w:r w:rsidR="00337EF3">
              <w:t>—</w:t>
            </w:r>
            <w:r w:rsidR="001A5404" w:rsidRPr="009A0998">
              <w:t xml:space="preserve"> a person declared by the regulations to be the manager of the public official for the purposes of the PID Act</w:t>
            </w:r>
          </w:p>
          <w:p w14:paraId="2FE66383" w14:textId="43CB78F5" w:rsidR="001A5404" w:rsidRPr="00833509" w:rsidRDefault="0043141C" w:rsidP="00FF23A4">
            <w:pPr>
              <w:pStyle w:val="notestylebullets"/>
              <w:spacing w:after="240"/>
              <w:ind w:left="590" w:hanging="284"/>
            </w:pPr>
            <w:r w:rsidRPr="0093701F">
              <w:t>f</w:t>
            </w:r>
            <w:r w:rsidR="001A5404" w:rsidRPr="0093701F">
              <w:t>or</w:t>
            </w:r>
            <w:r w:rsidR="001A5404" w:rsidRPr="0093701F">
              <w:rPr>
                <w:i/>
              </w:rPr>
              <w:t xml:space="preserve"> all other public officials </w:t>
            </w:r>
            <w:r w:rsidR="00337EF3">
              <w:t>—</w:t>
            </w:r>
            <w:r w:rsidR="001A5404" w:rsidRPr="009A0998">
              <w:t xml:space="preserve"> this is the person </w:t>
            </w:r>
            <w:r>
              <w:t xml:space="preserve">to </w:t>
            </w:r>
            <w:r w:rsidR="001A5404" w:rsidRPr="009A0998">
              <w:t>who</w:t>
            </w:r>
            <w:r>
              <w:t>m</w:t>
            </w:r>
            <w:r w:rsidR="001A5404" w:rsidRPr="009A0998">
              <w:t xml:space="preserve"> the public official reports directly or indirectly, or who supervises them directly or indirectly</w:t>
            </w:r>
            <w:r w:rsidR="001A5404">
              <w:t xml:space="preserve">. Agencies can </w:t>
            </w:r>
            <w:r>
              <w:t>include</w:t>
            </w:r>
            <w:r w:rsidR="001A5404">
              <w:t xml:space="preserve"> examples specific to their operations, for example if they operate on a matrix reporting model or if they have shift supervisors. </w:t>
            </w:r>
          </w:p>
        </w:tc>
      </w:tr>
    </w:tbl>
    <w:p w14:paraId="0D20E0F3" w14:textId="6F85AA7A" w:rsidR="006E7873" w:rsidRDefault="006E7873" w:rsidP="00C33A6D">
      <w:pPr>
        <w:rPr>
          <w:rFonts w:ascii="Arial" w:hAnsi="Arial" w:cs="Arial"/>
        </w:rPr>
      </w:pPr>
    </w:p>
    <w:p w14:paraId="376D3E56" w14:textId="77777777" w:rsidR="0043141C" w:rsidRDefault="0043141C">
      <w:pPr>
        <w:rPr>
          <w:rFonts w:ascii="Arial" w:hAnsi="Arial" w:cs="Arial"/>
          <w:b/>
          <w:bCs/>
          <w:i/>
          <w:iCs/>
        </w:rPr>
      </w:pPr>
      <w:r>
        <w:rPr>
          <w:rFonts w:ascii="Arial" w:hAnsi="Arial" w:cs="Arial"/>
          <w:b/>
          <w:bCs/>
          <w:i/>
          <w:iCs/>
        </w:rPr>
        <w:br w:type="page"/>
      </w:r>
    </w:p>
    <w:p w14:paraId="65005B02" w14:textId="2A1D0C4A" w:rsidR="006E7873" w:rsidRPr="00FF23A4" w:rsidRDefault="006E7873" w:rsidP="00FF23A4">
      <w:pPr>
        <w:pStyle w:val="Heading4"/>
      </w:pPr>
      <w:r w:rsidRPr="00FF23A4">
        <w:lastRenderedPageBreak/>
        <w:t xml:space="preserve">Making a </w:t>
      </w:r>
      <w:r w:rsidR="007B2F21" w:rsidRPr="00FF23A4">
        <w:t xml:space="preserve">report </w:t>
      </w:r>
      <w:r w:rsidR="00C75359" w:rsidRPr="00FF23A4">
        <w:t>to a recipient outside of [agency name]</w:t>
      </w:r>
    </w:p>
    <w:p w14:paraId="4DA9585C" w14:textId="122BC6D3" w:rsidR="00CF10E0" w:rsidRPr="00FF23A4" w:rsidRDefault="008F5CE9" w:rsidP="00FF23A4">
      <w:pPr>
        <w:pStyle w:val="BodyText"/>
      </w:pPr>
      <w:r>
        <w:t xml:space="preserve">You </w:t>
      </w:r>
      <w:r w:rsidR="00CF10E0">
        <w:t xml:space="preserve">can also </w:t>
      </w:r>
      <w:r>
        <w:t xml:space="preserve">make your </w:t>
      </w:r>
      <w:r w:rsidR="007B2F21">
        <w:t xml:space="preserve">report </w:t>
      </w:r>
      <w:r>
        <w:t xml:space="preserve">to </w:t>
      </w:r>
      <w:r w:rsidR="00BA03B1">
        <w:t>a public official</w:t>
      </w:r>
      <w:r w:rsidR="00810732">
        <w:t xml:space="preserve"> </w:t>
      </w:r>
      <w:r w:rsidR="0071199F">
        <w:t xml:space="preserve">in </w:t>
      </w:r>
      <w:r>
        <w:t>a</w:t>
      </w:r>
      <w:r w:rsidR="0071199F">
        <w:t>nother agency (meaning an agency you do not work for)</w:t>
      </w:r>
      <w:r w:rsidR="00BA03B1">
        <w:t xml:space="preserve"> or an integrity agency</w:t>
      </w:r>
      <w:r w:rsidR="0071199F">
        <w:t xml:space="preserve">. These </w:t>
      </w:r>
      <w:r w:rsidR="00125E07">
        <w:t>include:</w:t>
      </w:r>
    </w:p>
    <w:p w14:paraId="10CFE069" w14:textId="3E4007C4" w:rsidR="00CF10E0" w:rsidRPr="00FF23A4" w:rsidRDefault="0043141C" w:rsidP="00FF23A4">
      <w:pPr>
        <w:pStyle w:val="ListParagraph"/>
      </w:pPr>
      <w:r w:rsidRPr="00FF23A4">
        <w:t>t</w:t>
      </w:r>
      <w:r w:rsidR="00CF10E0" w:rsidRPr="00FF23A4">
        <w:t xml:space="preserve">he </w:t>
      </w:r>
      <w:r w:rsidR="00CF10E0" w:rsidRPr="00FF23A4">
        <w:rPr>
          <w:i/>
          <w:iCs/>
        </w:rPr>
        <w:t>head of another agency</w:t>
      </w:r>
      <w:r w:rsidR="00CF10E0" w:rsidRPr="00FF23A4">
        <w:t xml:space="preserve"> </w:t>
      </w:r>
      <w:r w:rsidR="000C5C56" w:rsidRPr="00FF23A4">
        <w:t>—</w:t>
      </w:r>
      <w:r w:rsidR="00CF10E0" w:rsidRPr="00FF23A4">
        <w:t xml:space="preserve"> this </w:t>
      </w:r>
      <w:r w:rsidR="00D7529D" w:rsidRPr="00FF23A4">
        <w:t>means the head of any public service agency</w:t>
      </w:r>
    </w:p>
    <w:p w14:paraId="35606311" w14:textId="0865EA4A" w:rsidR="009A555F" w:rsidRPr="00FF23A4" w:rsidRDefault="00DC0E3E" w:rsidP="00FF23A4">
      <w:pPr>
        <w:pStyle w:val="ListParagraph"/>
      </w:pPr>
      <w:r w:rsidRPr="00FF23A4">
        <w:t>a</w:t>
      </w:r>
      <w:r w:rsidR="00125E07" w:rsidRPr="00FF23A4">
        <w:t xml:space="preserve">n </w:t>
      </w:r>
      <w:r w:rsidR="00125E07" w:rsidRPr="00FF23A4">
        <w:rPr>
          <w:i/>
          <w:iCs/>
        </w:rPr>
        <w:t>integrity agency</w:t>
      </w:r>
      <w:r w:rsidR="00033A32" w:rsidRPr="00FF23A4">
        <w:t xml:space="preserve"> </w:t>
      </w:r>
      <w:r w:rsidR="000C5C56" w:rsidRPr="00FF23A4">
        <w:t>—</w:t>
      </w:r>
      <w:r w:rsidR="00033A32" w:rsidRPr="00FF23A4">
        <w:t xml:space="preserve"> </w:t>
      </w:r>
      <w:r w:rsidR="00D7529D" w:rsidRPr="00FF23A4">
        <w:t>a list of</w:t>
      </w:r>
      <w:r w:rsidR="0054189D" w:rsidRPr="00FF23A4">
        <w:t xml:space="preserve"> integrity agencies is located at </w:t>
      </w:r>
      <w:r w:rsidR="00445AD8" w:rsidRPr="00FF23A4">
        <w:t xml:space="preserve">Annexure B </w:t>
      </w:r>
      <w:r w:rsidR="001A5AEE" w:rsidRPr="00FF23A4">
        <w:t>of this policy</w:t>
      </w:r>
    </w:p>
    <w:p w14:paraId="0D6E30F9" w14:textId="1FC86F39" w:rsidR="00033A32" w:rsidRPr="00FF23A4" w:rsidRDefault="00DC0E3E" w:rsidP="00FF23A4">
      <w:pPr>
        <w:pStyle w:val="ListParagraph"/>
      </w:pPr>
      <w:r w:rsidRPr="00FF23A4">
        <w:t>a</w:t>
      </w:r>
      <w:r w:rsidR="00033A32" w:rsidRPr="00FF23A4">
        <w:t xml:space="preserve"> </w:t>
      </w:r>
      <w:r w:rsidR="00033A32" w:rsidRPr="00FF23A4">
        <w:rPr>
          <w:i/>
          <w:iCs/>
        </w:rPr>
        <w:t>disclosure officer for another agency</w:t>
      </w:r>
      <w:r w:rsidR="00033A32" w:rsidRPr="00FF23A4">
        <w:t xml:space="preserve"> </w:t>
      </w:r>
      <w:r w:rsidR="000C5C56" w:rsidRPr="00FF23A4">
        <w:t>—</w:t>
      </w:r>
      <w:r w:rsidR="00033A32" w:rsidRPr="00FF23A4">
        <w:t xml:space="preserve"> </w:t>
      </w:r>
      <w:r w:rsidR="0054189D" w:rsidRPr="00FF23A4">
        <w:t xml:space="preserve">ways to contact disclosure officers for other agencies is located in </w:t>
      </w:r>
      <w:r w:rsidR="00756A35" w:rsidRPr="00FF23A4">
        <w:t>an</w:t>
      </w:r>
      <w:r w:rsidR="0054189D" w:rsidRPr="00FF23A4">
        <w:t xml:space="preserve"> agency’s PID policy which can be found on their public website</w:t>
      </w:r>
    </w:p>
    <w:p w14:paraId="7A74B8CC" w14:textId="5AF22B7C" w:rsidR="009A555F" w:rsidRPr="00FF23A4" w:rsidRDefault="002451EC" w:rsidP="00361814">
      <w:pPr>
        <w:pStyle w:val="ListParagraph"/>
      </w:pPr>
      <w:r>
        <w:t>a</w:t>
      </w:r>
      <w:r w:rsidR="00614AAC" w:rsidRPr="00FF23A4">
        <w:t xml:space="preserve"> </w:t>
      </w:r>
      <w:r w:rsidR="00614AAC" w:rsidRPr="00FF23A4">
        <w:rPr>
          <w:i/>
          <w:iCs/>
        </w:rPr>
        <w:t>Minister or a member of a Minister’s staff</w:t>
      </w:r>
      <w:r w:rsidR="00614AAC" w:rsidRPr="00FF23A4">
        <w:t xml:space="preserve"> but the </w:t>
      </w:r>
      <w:r w:rsidR="007B2F21" w:rsidRPr="00FF23A4">
        <w:t xml:space="preserve">report </w:t>
      </w:r>
      <w:r w:rsidR="00614AAC" w:rsidRPr="00FF23A4">
        <w:rPr>
          <w:i/>
          <w:iCs/>
        </w:rPr>
        <w:t>must be made in writing</w:t>
      </w:r>
      <w:r w:rsidR="00614AAC" w:rsidRPr="00FF23A4">
        <w:t xml:space="preserve">. </w:t>
      </w:r>
    </w:p>
    <w:p w14:paraId="1A3CAFD9" w14:textId="79315EDD" w:rsidR="00C33A6D" w:rsidRDefault="00E6474B" w:rsidP="00FF23A4">
      <w:pPr>
        <w:pStyle w:val="BodyText"/>
      </w:pPr>
      <w:r w:rsidRPr="00667D69">
        <w:t xml:space="preserve">If you choose to make a </w:t>
      </w:r>
      <w:r w:rsidR="00667D69" w:rsidRPr="00667D69">
        <w:t>disclosure</w:t>
      </w:r>
      <w:r w:rsidRPr="00667D69">
        <w:t xml:space="preserve"> outside of </w:t>
      </w:r>
      <w:r w:rsidR="00CD3964">
        <w:t>[</w:t>
      </w:r>
      <w:r w:rsidRPr="00667D69">
        <w:t xml:space="preserve">agency name], it is </w:t>
      </w:r>
      <w:r w:rsidR="001216E8">
        <w:t xml:space="preserve">possible </w:t>
      </w:r>
      <w:r w:rsidR="002B7604" w:rsidRPr="00667D69">
        <w:t xml:space="preserve">that your </w:t>
      </w:r>
      <w:r w:rsidR="00667D69" w:rsidRPr="00667D69">
        <w:t xml:space="preserve">disclosure </w:t>
      </w:r>
      <w:r w:rsidR="002B7604" w:rsidRPr="00667D69">
        <w:t xml:space="preserve">will be referred back to </w:t>
      </w:r>
      <w:r w:rsidR="00CD3964">
        <w:t>[</w:t>
      </w:r>
      <w:r w:rsidR="002B7604" w:rsidRPr="00667D69">
        <w:t>agency name</w:t>
      </w:r>
      <w:r w:rsidR="001216E8">
        <w:t>/us</w:t>
      </w:r>
      <w:r w:rsidR="002B7604" w:rsidRPr="00667D69">
        <w:t xml:space="preserve">] so that </w:t>
      </w:r>
      <w:r w:rsidR="00667D69" w:rsidRPr="00667D69">
        <w:t>appropriate action can be taken</w:t>
      </w:r>
      <w:r w:rsidR="00667D69">
        <w:t>.</w:t>
      </w:r>
    </w:p>
    <w:p w14:paraId="3D637E8B" w14:textId="561FD5F0" w:rsidR="00C7054E" w:rsidRPr="00C7054E" w:rsidRDefault="00C7054E" w:rsidP="0093701F">
      <w:pPr>
        <w:pStyle w:val="Heading4"/>
      </w:pPr>
      <w:r w:rsidRPr="00C7054E">
        <w:t xml:space="preserve">Making a report to a Member of Parliament or journalist </w:t>
      </w:r>
    </w:p>
    <w:p w14:paraId="3C758EB9" w14:textId="1D01177A" w:rsidR="00246C86" w:rsidRDefault="0033313C" w:rsidP="00FF23A4">
      <w:pPr>
        <w:pStyle w:val="BodyText"/>
      </w:pPr>
      <w:r>
        <w:t>Disclosures to</w:t>
      </w:r>
      <w:r w:rsidR="00B0120A">
        <w:t xml:space="preserve"> </w:t>
      </w:r>
      <w:r w:rsidR="008608D4" w:rsidRPr="0093701F">
        <w:t>MP</w:t>
      </w:r>
      <w:r w:rsidR="00B0120A" w:rsidRPr="00B0120A">
        <w:t>s</w:t>
      </w:r>
      <w:r>
        <w:t xml:space="preserve"> or journalists are different to oth</w:t>
      </w:r>
      <w:r w:rsidR="00E543BE">
        <w:t xml:space="preserve">er </w:t>
      </w:r>
      <w:r w:rsidR="00616852">
        <w:t>reports</w:t>
      </w:r>
      <w:r w:rsidR="00E543BE">
        <w:t xml:space="preserve">. </w:t>
      </w:r>
      <w:r w:rsidR="00916866">
        <w:t>Y</w:t>
      </w:r>
      <w:r w:rsidR="0037028B" w:rsidRPr="0037028B">
        <w:t xml:space="preserve">ou </w:t>
      </w:r>
      <w:r w:rsidR="00916866">
        <w:t xml:space="preserve">can only </w:t>
      </w:r>
      <w:r w:rsidR="00E543BE">
        <w:t>disclose</w:t>
      </w:r>
      <w:r w:rsidR="008B165B">
        <w:t xml:space="preserve"> a report of wrongdoing</w:t>
      </w:r>
      <w:r w:rsidR="00860250">
        <w:t xml:space="preserve"> as a voluntary PID</w:t>
      </w:r>
      <w:r w:rsidR="0037028B" w:rsidRPr="0037028B">
        <w:t xml:space="preserve"> to an MP or journalist</w:t>
      </w:r>
      <w:r w:rsidR="004E6856">
        <w:t xml:space="preserve"> in the following circumstances</w:t>
      </w:r>
      <w:r w:rsidR="0037028B" w:rsidRPr="0037028B">
        <w:t>:</w:t>
      </w:r>
    </w:p>
    <w:p w14:paraId="2BD2D1BE" w14:textId="37609200" w:rsidR="000354C3" w:rsidRPr="00FF23A4" w:rsidRDefault="0081401C" w:rsidP="00FF23A4">
      <w:pPr>
        <w:pStyle w:val="ListParagraph"/>
      </w:pPr>
      <w:r w:rsidRPr="00FF23A4">
        <w:t xml:space="preserve">You must have first made </w:t>
      </w:r>
      <w:r w:rsidR="00352FD6" w:rsidRPr="00FF23A4">
        <w:t>substantially the same</w:t>
      </w:r>
      <w:r w:rsidRPr="00FF23A4">
        <w:t xml:space="preserve"> disclosure </w:t>
      </w:r>
      <w:r w:rsidR="001F2D9F" w:rsidRPr="00FF23A4">
        <w:t xml:space="preserve">(described here as a ‘previous disclosure’) </w:t>
      </w:r>
      <w:r w:rsidR="00874AF7" w:rsidRPr="00FF23A4">
        <w:t>to someone who can receive disclosures</w:t>
      </w:r>
      <w:r w:rsidR="000354C3" w:rsidRPr="00FF23A4">
        <w:t>.</w:t>
      </w:r>
    </w:p>
    <w:p w14:paraId="79E09A9D" w14:textId="4F9A6EBA" w:rsidR="00DA2AB3" w:rsidRPr="00FF23A4" w:rsidRDefault="000354C3" w:rsidP="00FF23A4">
      <w:pPr>
        <w:pStyle w:val="ListParagraph"/>
      </w:pPr>
      <w:r w:rsidRPr="00FF23A4">
        <w:t>Th</w:t>
      </w:r>
      <w:r w:rsidR="001F2D9F" w:rsidRPr="00FF23A4">
        <w:t>e</w:t>
      </w:r>
      <w:r w:rsidRPr="00FF23A4">
        <w:t xml:space="preserve"> </w:t>
      </w:r>
      <w:r w:rsidR="001F2D9F" w:rsidRPr="00FF23A4">
        <w:t xml:space="preserve">previous </w:t>
      </w:r>
      <w:r w:rsidRPr="00FF23A4">
        <w:t>disclosure must be subs</w:t>
      </w:r>
      <w:r w:rsidR="00DA2AB3" w:rsidRPr="00FF23A4">
        <w:t>tantially true</w:t>
      </w:r>
      <w:r w:rsidR="00593701" w:rsidRPr="00FF23A4">
        <w:t>.</w:t>
      </w:r>
    </w:p>
    <w:p w14:paraId="41E4C1A8" w14:textId="027BF5E3" w:rsidR="001F2D9F" w:rsidRPr="00FF23A4" w:rsidRDefault="00AB7DCF" w:rsidP="00FF23A4">
      <w:pPr>
        <w:pStyle w:val="ListParagraph"/>
      </w:pPr>
      <w:r w:rsidRPr="00FF23A4">
        <w:t>You did not make the previous disclosure</w:t>
      </w:r>
      <w:r w:rsidR="001F2D9F" w:rsidRPr="00FF23A4">
        <w:t xml:space="preserve"> anonymously</w:t>
      </w:r>
      <w:r w:rsidR="00593701" w:rsidRPr="00FF23A4">
        <w:t>.</w:t>
      </w:r>
    </w:p>
    <w:p w14:paraId="4271F123" w14:textId="43EBCABB" w:rsidR="00537682" w:rsidRPr="00FF23A4" w:rsidRDefault="00537682" w:rsidP="00FF23A4">
      <w:pPr>
        <w:pStyle w:val="ListParagraph"/>
      </w:pPr>
      <w:r w:rsidRPr="00FF23A4">
        <w:t xml:space="preserve">You </w:t>
      </w:r>
      <w:r w:rsidR="00AB7DCF" w:rsidRPr="00FF23A4">
        <w:t>did not</w:t>
      </w:r>
      <w:r w:rsidRPr="00FF23A4">
        <w:t xml:space="preserve"> give a written waiver of your right to receive information relating to your previous disclosure</w:t>
      </w:r>
      <w:r w:rsidR="00593701" w:rsidRPr="00FF23A4">
        <w:t>.</w:t>
      </w:r>
    </w:p>
    <w:p w14:paraId="2FAC38FF" w14:textId="310125E6" w:rsidR="006042D1" w:rsidRPr="00FF23A4" w:rsidRDefault="002D67AB" w:rsidP="00FF23A4">
      <w:pPr>
        <w:pStyle w:val="ListParagraph"/>
      </w:pPr>
      <w:r w:rsidRPr="00FF23A4">
        <w:t xml:space="preserve">You </w:t>
      </w:r>
      <w:r w:rsidR="00C36D9A" w:rsidRPr="00FF23A4">
        <w:t>di</w:t>
      </w:r>
      <w:r w:rsidR="00E748F0" w:rsidRPr="00FF23A4">
        <w:t xml:space="preserve">d </w:t>
      </w:r>
      <w:r w:rsidRPr="00FF23A4">
        <w:t xml:space="preserve">not receive the following from </w:t>
      </w:r>
      <w:r w:rsidR="00CD3964" w:rsidRPr="00FF23A4">
        <w:t>[</w:t>
      </w:r>
      <w:r w:rsidR="001636AE" w:rsidRPr="00FF23A4">
        <w:t>agency name]</w:t>
      </w:r>
      <w:r w:rsidR="006042D1" w:rsidRPr="00FF23A4">
        <w:t>:</w:t>
      </w:r>
    </w:p>
    <w:p w14:paraId="6A2EFDED" w14:textId="4CEE0880" w:rsidR="006042D1" w:rsidRPr="003D17D7" w:rsidRDefault="00224826" w:rsidP="003D17D7">
      <w:pPr>
        <w:pStyle w:val="ListBullet2"/>
      </w:pPr>
      <w:r w:rsidRPr="003D17D7">
        <w:t>n</w:t>
      </w:r>
      <w:r w:rsidR="002D67AB" w:rsidRPr="003D17D7">
        <w:t xml:space="preserve">otification that </w:t>
      </w:r>
      <w:r w:rsidR="00CD3964" w:rsidRPr="003D17D7">
        <w:t>[</w:t>
      </w:r>
      <w:r w:rsidR="002D67AB" w:rsidRPr="003D17D7">
        <w:t>agency name]</w:t>
      </w:r>
      <w:r w:rsidR="00815EB5" w:rsidRPr="003D17D7">
        <w:t xml:space="preserve"> will not </w:t>
      </w:r>
      <w:r w:rsidR="00303374" w:rsidRPr="003D17D7">
        <w:t>investigate</w:t>
      </w:r>
      <w:r w:rsidR="00815EB5" w:rsidRPr="003D17D7">
        <w:t xml:space="preserve"> the </w:t>
      </w:r>
      <w:r w:rsidR="00303374" w:rsidRPr="003D17D7">
        <w:t xml:space="preserve">serious wrongdoing and will also not refer the </w:t>
      </w:r>
      <w:r w:rsidR="00871941" w:rsidRPr="003D17D7">
        <w:t xml:space="preserve">previous </w:t>
      </w:r>
      <w:r w:rsidR="00303374" w:rsidRPr="003D17D7">
        <w:t>disclosure to another agency</w:t>
      </w:r>
      <w:r w:rsidR="000D72F8" w:rsidRPr="003D17D7">
        <w:t>, or</w:t>
      </w:r>
    </w:p>
    <w:p w14:paraId="63C49104" w14:textId="24739093" w:rsidR="00303374" w:rsidRPr="00FF23A4" w:rsidRDefault="001E585A" w:rsidP="003D17D7">
      <w:pPr>
        <w:pStyle w:val="ListBullet2"/>
      </w:pPr>
      <w:r w:rsidRPr="003D17D7">
        <w:t xml:space="preserve">the </w:t>
      </w:r>
      <w:r w:rsidR="00764E2C" w:rsidRPr="003D17D7">
        <w:t>following</w:t>
      </w:r>
      <w:r w:rsidRPr="00FF23A4">
        <w:t xml:space="preserve"> information at the end of the investigation period</w:t>
      </w:r>
      <w:r w:rsidR="00D314C4" w:rsidRPr="00FF23A4">
        <w:t>:</w:t>
      </w:r>
    </w:p>
    <w:p w14:paraId="2E6CA412" w14:textId="51FE082C" w:rsidR="00D314C4" w:rsidRPr="00FF23A4" w:rsidRDefault="002152E2" w:rsidP="003D17D7">
      <w:pPr>
        <w:pStyle w:val="ListBullet3"/>
      </w:pPr>
      <w:r w:rsidRPr="00FF23A4">
        <w:t xml:space="preserve">notice of </w:t>
      </w:r>
      <w:r w:rsidR="00CD3964" w:rsidRPr="00FF23A4">
        <w:t>[</w:t>
      </w:r>
      <w:r w:rsidRPr="00FF23A4">
        <w:t>agency name] decision to investigate the serious wrongdoing</w:t>
      </w:r>
    </w:p>
    <w:p w14:paraId="4CB341DD" w14:textId="1C87B795" w:rsidR="002152E2" w:rsidRPr="00FF23A4" w:rsidRDefault="0040757A" w:rsidP="003D17D7">
      <w:pPr>
        <w:pStyle w:val="ListBullet3"/>
      </w:pPr>
      <w:r w:rsidRPr="00FF23A4">
        <w:t>a description of the results of an investigation into the serious wrongdoing</w:t>
      </w:r>
    </w:p>
    <w:p w14:paraId="28DFFB99" w14:textId="77777777" w:rsidR="000A5818" w:rsidRDefault="00953B00" w:rsidP="003D17D7">
      <w:pPr>
        <w:pStyle w:val="ListBullet3"/>
      </w:pPr>
      <w:r w:rsidRPr="00FF23A4">
        <w:t>details of proposed or recommended corrective action as a result of the previous disclosure or investigation</w:t>
      </w:r>
      <w:r>
        <w:t>.</w:t>
      </w:r>
    </w:p>
    <w:p w14:paraId="101FCAF5" w14:textId="77777777" w:rsidR="000A5818" w:rsidRDefault="000A5818" w:rsidP="00FF23A4">
      <w:pPr>
        <w:pStyle w:val="BodyText"/>
      </w:pPr>
      <w:r>
        <w:t>Investigation period means:</w:t>
      </w:r>
    </w:p>
    <w:p w14:paraId="5B5B1307" w14:textId="7927DE49" w:rsidR="00953B00" w:rsidRDefault="002D67AB" w:rsidP="003D17D7">
      <w:pPr>
        <w:pStyle w:val="ListBullet2"/>
      </w:pPr>
      <w:r>
        <w:t xml:space="preserve">after </w:t>
      </w:r>
      <w:r w:rsidR="000C5C56">
        <w:t>six</w:t>
      </w:r>
      <w:r w:rsidR="00EB268D">
        <w:t xml:space="preserve"> months from the previous disclo</w:t>
      </w:r>
      <w:r>
        <w:t>sure</w:t>
      </w:r>
      <w:r w:rsidR="00EB268D">
        <w:t xml:space="preserve"> being made</w:t>
      </w:r>
      <w:r w:rsidR="00C21F26">
        <w:t>, or</w:t>
      </w:r>
    </w:p>
    <w:p w14:paraId="450CD1E9" w14:textId="2F24AE3E" w:rsidR="00361814" w:rsidRPr="0049780B" w:rsidRDefault="00DC2C9A" w:rsidP="003D17D7">
      <w:pPr>
        <w:pStyle w:val="ListBullet2"/>
      </w:pPr>
      <w:r w:rsidRPr="002D67AB">
        <w:t xml:space="preserve">after 12 months if you applied for an internal review of the agency’s decision within </w:t>
      </w:r>
      <w:r w:rsidR="00C21F26">
        <w:t>six</w:t>
      </w:r>
      <w:r w:rsidRPr="002D67AB">
        <w:t xml:space="preserve"> months of making the disclosure</w:t>
      </w:r>
      <w:r w:rsidR="00E748F0">
        <w:t>.</w:t>
      </w:r>
    </w:p>
    <w:p w14:paraId="649D27D9" w14:textId="3217998D" w:rsidR="00FD3EC4" w:rsidRPr="00F12E84" w:rsidRDefault="00601D05" w:rsidP="00F12E84">
      <w:pPr>
        <w:pStyle w:val="BodyText"/>
        <w:ind w:right="-164"/>
      </w:pPr>
      <w:r>
        <w:t xml:space="preserve">If </w:t>
      </w:r>
      <w:r w:rsidR="008F0C26">
        <w:t>all the</w:t>
      </w:r>
      <w:r>
        <w:t xml:space="preserve"> above requirements are met, your disclosure to a</w:t>
      </w:r>
      <w:r w:rsidR="003E0BFF">
        <w:t>n</w:t>
      </w:r>
      <w:r>
        <w:t xml:space="preserve"> MP or journalist</w:t>
      </w:r>
      <w:r w:rsidR="007257B1">
        <w:t xml:space="preserve"> may be a voluntary PID</w:t>
      </w:r>
      <w:r>
        <w:t>.</w:t>
      </w:r>
    </w:p>
    <w:p w14:paraId="2FE9D713" w14:textId="4B2DB92D" w:rsidR="000A54B8" w:rsidRPr="00D52419" w:rsidRDefault="005757EB" w:rsidP="00E3369E">
      <w:pPr>
        <w:pStyle w:val="Heading3"/>
        <w:numPr>
          <w:ilvl w:val="0"/>
          <w:numId w:val="15"/>
        </w:numPr>
        <w:ind w:left="567" w:hanging="567"/>
      </w:pPr>
      <w:bookmarkStart w:id="127" w:name="_Toc140251721"/>
      <w:r>
        <w:t>What form should</w:t>
      </w:r>
      <w:r w:rsidR="00FD3EC4" w:rsidRPr="00D52419">
        <w:t xml:space="preserve"> a voluntary PID </w:t>
      </w:r>
      <w:r w:rsidR="00B94EC0">
        <w:t>take</w:t>
      </w:r>
      <w:r w:rsidR="00FD3EC4" w:rsidRPr="00D52419">
        <w:t>?</w:t>
      </w:r>
      <w:bookmarkEnd w:id="127"/>
      <w:r w:rsidR="009B2132" w:rsidRPr="00D52419">
        <w:t xml:space="preserve"> </w:t>
      </w:r>
    </w:p>
    <w:p w14:paraId="0DAE4322" w14:textId="21012605" w:rsidR="00CF10E0" w:rsidRPr="00CF10E0" w:rsidRDefault="009A555F" w:rsidP="003D17D7">
      <w:pPr>
        <w:pStyle w:val="BodyText"/>
      </w:pPr>
      <w:r>
        <w:t>You can</w:t>
      </w:r>
      <w:r w:rsidR="00CF10E0" w:rsidRPr="00CF10E0">
        <w:t xml:space="preserve"> </w:t>
      </w:r>
      <w:r>
        <w:t>make a voluntary PID</w:t>
      </w:r>
      <w:r w:rsidR="00CF10E0" w:rsidRPr="00CF10E0">
        <w:t>:</w:t>
      </w:r>
    </w:p>
    <w:p w14:paraId="71523003" w14:textId="271DBB2E" w:rsidR="00CF10E0" w:rsidRPr="00CF10E0" w:rsidRDefault="00CF10E0" w:rsidP="003D17D7">
      <w:pPr>
        <w:pStyle w:val="ListParagraph"/>
      </w:pPr>
      <w:r w:rsidRPr="0093701F">
        <w:rPr>
          <w:i/>
          <w:iCs/>
        </w:rPr>
        <w:t>in writing</w:t>
      </w:r>
      <w:r w:rsidRPr="00CF10E0">
        <w:t xml:space="preserve"> </w:t>
      </w:r>
      <w:r w:rsidR="00337EF3">
        <w:t>—</w:t>
      </w:r>
      <w:r w:rsidRPr="00CF10E0">
        <w:t xml:space="preserve"> this could be an email or letter to a </w:t>
      </w:r>
      <w:r w:rsidR="008040C3">
        <w:t>person who can receive voluntary PIDs.</w:t>
      </w:r>
      <w:r w:rsidRPr="00CF10E0">
        <w:t xml:space="preserve"> </w:t>
      </w:r>
    </w:p>
    <w:p w14:paraId="7908D9EC" w14:textId="1D4F8901" w:rsidR="00CF10E0" w:rsidRPr="00CF10E0" w:rsidRDefault="00CF10E0" w:rsidP="003D17D7">
      <w:pPr>
        <w:pStyle w:val="ListParagraph"/>
      </w:pPr>
      <w:r w:rsidRPr="0093701F">
        <w:rPr>
          <w:i/>
          <w:iCs/>
        </w:rPr>
        <w:t>orally</w:t>
      </w:r>
      <w:r w:rsidRPr="00CF10E0">
        <w:t xml:space="preserve"> </w:t>
      </w:r>
      <w:r w:rsidR="00337EF3">
        <w:t>—</w:t>
      </w:r>
      <w:r w:rsidRPr="00CF10E0">
        <w:t xml:space="preserve"> have a private discussion with a </w:t>
      </w:r>
      <w:r w:rsidR="00E628A5">
        <w:t>person who can receive voluntary PIDs</w:t>
      </w:r>
      <w:r w:rsidRPr="00CF10E0">
        <w:t>. This can be face</w:t>
      </w:r>
      <w:r w:rsidR="009734D6">
        <w:t>-</w:t>
      </w:r>
      <w:r w:rsidRPr="00CF10E0">
        <w:t>to</w:t>
      </w:r>
      <w:r w:rsidR="009734D6">
        <w:t>-</w:t>
      </w:r>
      <w:r w:rsidRPr="00CF10E0">
        <w:t>face, via telephone or virtually.</w:t>
      </w:r>
    </w:p>
    <w:p w14:paraId="5FA30AC1" w14:textId="61554F62" w:rsidR="00693D4F" w:rsidRPr="003D17D7" w:rsidRDefault="00CF10E0" w:rsidP="003D17D7">
      <w:pPr>
        <w:pStyle w:val="ListParagraph"/>
      </w:pPr>
      <w:r w:rsidRPr="00076FF0">
        <w:rPr>
          <w:rStyle w:val="ListParagraphChar"/>
          <w:i/>
          <w:iCs/>
        </w:rPr>
        <w:t>anonymously</w:t>
      </w:r>
      <w:r w:rsidRPr="003D17D7">
        <w:rPr>
          <w:rStyle w:val="ListParagraphChar"/>
        </w:rPr>
        <w:t xml:space="preserve"> </w:t>
      </w:r>
      <w:r w:rsidR="00337EF3" w:rsidRPr="003D17D7">
        <w:rPr>
          <w:rStyle w:val="ListParagraphChar"/>
        </w:rPr>
        <w:t>—</w:t>
      </w:r>
      <w:r w:rsidRPr="003D17D7">
        <w:rPr>
          <w:rStyle w:val="ListParagraphChar"/>
        </w:rPr>
        <w:t xml:space="preserve"> write an email</w:t>
      </w:r>
      <w:r w:rsidR="009734D6" w:rsidRPr="003D17D7">
        <w:rPr>
          <w:rStyle w:val="ListParagraphChar"/>
        </w:rPr>
        <w:t xml:space="preserve"> or</w:t>
      </w:r>
      <w:r w:rsidR="00C32755" w:rsidRPr="003D17D7">
        <w:rPr>
          <w:rStyle w:val="ListParagraphChar"/>
        </w:rPr>
        <w:t xml:space="preserve"> letter </w:t>
      </w:r>
      <w:r w:rsidRPr="003D17D7">
        <w:rPr>
          <w:rStyle w:val="ListParagraphChar"/>
        </w:rPr>
        <w:t xml:space="preserve">or </w:t>
      </w:r>
      <w:r w:rsidR="00C32755" w:rsidRPr="003D17D7">
        <w:rPr>
          <w:rStyle w:val="ListParagraphChar"/>
        </w:rPr>
        <w:t>call</w:t>
      </w:r>
      <w:r w:rsidRPr="003D17D7">
        <w:rPr>
          <w:rStyle w:val="ListParagraphChar"/>
        </w:rPr>
        <w:t xml:space="preserve"> </w:t>
      </w:r>
      <w:r w:rsidR="00812E0B" w:rsidRPr="003D17D7">
        <w:rPr>
          <w:rStyle w:val="ListParagraphChar"/>
        </w:rPr>
        <w:t xml:space="preserve">a </w:t>
      </w:r>
      <w:r w:rsidR="00E332C0" w:rsidRPr="003D17D7">
        <w:rPr>
          <w:rStyle w:val="ListParagraphChar"/>
        </w:rPr>
        <w:t>person who can receive PIDs to make a report</w:t>
      </w:r>
      <w:r w:rsidRPr="003D17D7">
        <w:rPr>
          <w:rStyle w:val="ListParagraphChar"/>
        </w:rPr>
        <w:t xml:space="preserve"> without </w:t>
      </w:r>
      <w:r w:rsidR="00FA3E0F" w:rsidRPr="003D17D7">
        <w:rPr>
          <w:rStyle w:val="ListParagraphChar"/>
        </w:rPr>
        <w:t>providing</w:t>
      </w:r>
      <w:r w:rsidRPr="003D17D7">
        <w:rPr>
          <w:rStyle w:val="ListParagraphChar"/>
        </w:rPr>
        <w:t xml:space="preserve"> your name or </w:t>
      </w:r>
      <w:r w:rsidR="00FA3E0F" w:rsidRPr="003D17D7">
        <w:rPr>
          <w:rStyle w:val="ListParagraphChar"/>
        </w:rPr>
        <w:t xml:space="preserve">anything that might identify you as the maker of the </w:t>
      </w:r>
      <w:r w:rsidR="00FA3E0F" w:rsidRPr="003D17D7">
        <w:rPr>
          <w:rStyle w:val="ListParagraphChar"/>
        </w:rPr>
        <w:lastRenderedPageBreak/>
        <w:t>report</w:t>
      </w:r>
      <w:r w:rsidR="008040C3" w:rsidRPr="003D17D7">
        <w:rPr>
          <w:rStyle w:val="ListParagraphChar"/>
        </w:rPr>
        <w:t>.</w:t>
      </w:r>
      <w:r w:rsidR="00A71D5A" w:rsidRPr="003D17D7">
        <w:rPr>
          <w:rStyle w:val="ListParagraphChar"/>
        </w:rPr>
        <w:t xml:space="preserve"> </w:t>
      </w:r>
      <w:r w:rsidR="00F06FE6" w:rsidRPr="003D17D7">
        <w:rPr>
          <w:rStyle w:val="ListParagraphChar"/>
        </w:rPr>
        <w:t>A report will only</w:t>
      </w:r>
      <w:r w:rsidR="00A2510D" w:rsidRPr="003D17D7">
        <w:rPr>
          <w:rStyle w:val="ListParagraphChar"/>
        </w:rPr>
        <w:t xml:space="preserve"> </w:t>
      </w:r>
      <w:r w:rsidR="00B916AC" w:rsidRPr="003D17D7">
        <w:rPr>
          <w:rStyle w:val="ListParagraphChar"/>
        </w:rPr>
        <w:t xml:space="preserve">be </w:t>
      </w:r>
      <w:r w:rsidR="00A2510D" w:rsidRPr="003D17D7">
        <w:rPr>
          <w:rStyle w:val="ListParagraphChar"/>
        </w:rPr>
        <w:t>considered</w:t>
      </w:r>
      <w:r w:rsidR="00E62C75" w:rsidRPr="003D17D7">
        <w:rPr>
          <w:rStyle w:val="ListParagraphChar"/>
        </w:rPr>
        <w:t xml:space="preserve"> </w:t>
      </w:r>
      <w:r w:rsidR="00A2510D" w:rsidRPr="003D17D7">
        <w:rPr>
          <w:rStyle w:val="ListParagraphChar"/>
        </w:rPr>
        <w:t>anonymous</w:t>
      </w:r>
      <w:r w:rsidR="00E62C75" w:rsidRPr="003D17D7">
        <w:rPr>
          <w:rStyle w:val="ListParagraphChar"/>
        </w:rPr>
        <w:t xml:space="preserve"> </w:t>
      </w:r>
      <w:r w:rsidR="00EE745A" w:rsidRPr="003D17D7">
        <w:rPr>
          <w:rStyle w:val="ListParagraphChar"/>
        </w:rPr>
        <w:t xml:space="preserve">if </w:t>
      </w:r>
      <w:r w:rsidR="00C32755" w:rsidRPr="003D17D7">
        <w:rPr>
          <w:rStyle w:val="ListParagraphChar"/>
        </w:rPr>
        <w:t>there is no</w:t>
      </w:r>
      <w:r w:rsidR="00C32755" w:rsidRPr="003D17D7">
        <w:t xml:space="preserve"> reasonable or practical way of communicating with the </w:t>
      </w:r>
      <w:r w:rsidR="00A2510D" w:rsidRPr="003D17D7">
        <w:t>person making the report</w:t>
      </w:r>
      <w:r w:rsidR="00EE745A" w:rsidRPr="003D17D7">
        <w:t xml:space="preserve">. </w:t>
      </w:r>
      <w:r w:rsidR="00A71D5A" w:rsidRPr="003D17D7">
        <w:t xml:space="preserve">Even if you choose to remain anonymous, you will still be protected under the PID Act. </w:t>
      </w:r>
      <w:r w:rsidR="00804C8A" w:rsidRPr="003D17D7">
        <w:t xml:space="preserve">It may be difficult, however, for </w:t>
      </w:r>
      <w:r w:rsidR="00CD3964" w:rsidRPr="003D17D7">
        <w:t>[</w:t>
      </w:r>
      <w:r w:rsidR="00804C8A" w:rsidRPr="003D17D7">
        <w:t>us</w:t>
      </w:r>
      <w:r w:rsidR="00593701" w:rsidRPr="003D17D7">
        <w:t>/agency name</w:t>
      </w:r>
      <w:r w:rsidR="004411D6" w:rsidRPr="003D17D7">
        <w:t>]</w:t>
      </w:r>
      <w:r w:rsidR="00804C8A" w:rsidRPr="003D17D7">
        <w:t xml:space="preserve"> to investigate the matter</w:t>
      </w:r>
      <w:r w:rsidR="00EA735E">
        <w:t>(</w:t>
      </w:r>
      <w:r w:rsidR="00804C8A" w:rsidRPr="003D17D7">
        <w:t>s</w:t>
      </w:r>
      <w:r w:rsidR="00EA735E">
        <w:t>)</w:t>
      </w:r>
      <w:r w:rsidR="00804C8A" w:rsidRPr="003D17D7">
        <w:t xml:space="preserve"> you have disclosed</w:t>
      </w:r>
      <w:r w:rsidR="003C7421" w:rsidRPr="003D17D7">
        <w:t xml:space="preserve"> if we </w:t>
      </w:r>
      <w:r w:rsidR="002721C3" w:rsidRPr="003D17D7">
        <w:t>cannot</w:t>
      </w:r>
      <w:r w:rsidR="003C7421" w:rsidRPr="003D17D7">
        <w:t xml:space="preserve"> contact you for further information. </w:t>
      </w:r>
      <w:r w:rsidR="00693D4F" w:rsidRPr="003D17D7">
        <w:br/>
      </w:r>
    </w:p>
    <w:tbl>
      <w:tblPr>
        <w:tblStyle w:val="TableGrid"/>
        <w:tblW w:w="0" w:type="auto"/>
        <w:tblInd w:w="137"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761"/>
      </w:tblGrid>
      <w:tr w:rsidR="00693D4F" w14:paraId="5FF89C3C" w14:textId="77777777" w:rsidTr="003D17D7">
        <w:tc>
          <w:tcPr>
            <w:tcW w:w="8923" w:type="dxa"/>
            <w:shd w:val="clear" w:color="auto" w:fill="CEDDD4"/>
          </w:tcPr>
          <w:p w14:paraId="22D9BC3D" w14:textId="2D783A8E" w:rsidR="00693D4F" w:rsidRPr="00CF10E0" w:rsidRDefault="000A7D1A" w:rsidP="003D17D7">
            <w:pPr>
              <w:pStyle w:val="Notestyle"/>
            </w:pPr>
            <w:r w:rsidRPr="001036E3">
              <w:rPr>
                <w:b/>
                <w:iCs w:val="0"/>
              </w:rPr>
              <w:t>Guidance</w:t>
            </w:r>
            <w:r w:rsidR="00693D4F" w:rsidRPr="0093701F">
              <w:t>:</w:t>
            </w:r>
            <w:r w:rsidR="00693D4F" w:rsidRPr="00CF10E0">
              <w:t xml:space="preserve"> Agencies should include details of any procedures that have been established to facilitate reporting</w:t>
            </w:r>
            <w:r w:rsidR="00693D4F">
              <w:t xml:space="preserve"> and include th</w:t>
            </w:r>
            <w:r w:rsidR="005E59A3">
              <w:t>ose</w:t>
            </w:r>
            <w:r w:rsidR="00693D4F">
              <w:t xml:space="preserve"> as a way employees can make reports</w:t>
            </w:r>
            <w:r w:rsidR="00693D4F" w:rsidRPr="00CF10E0">
              <w:t>. For example:</w:t>
            </w:r>
          </w:p>
          <w:p w14:paraId="16173C71" w14:textId="3D1636BB" w:rsidR="00693D4F" w:rsidRPr="00CF10E0" w:rsidRDefault="00611E74" w:rsidP="003D17D7">
            <w:pPr>
              <w:pStyle w:val="notestylebullets"/>
            </w:pPr>
            <w:r>
              <w:t>i</w:t>
            </w:r>
            <w:r w:rsidR="00693D4F" w:rsidRPr="00CF10E0">
              <w:t>f an agency has created a</w:t>
            </w:r>
            <w:r w:rsidR="00693D4F">
              <w:t>n online reporting portal, a dedicated phone line or email address</w:t>
            </w:r>
            <w:r>
              <w:t xml:space="preserve"> to which</w:t>
            </w:r>
            <w:r w:rsidR="00693D4F">
              <w:t xml:space="preserve"> </w:t>
            </w:r>
            <w:r w:rsidR="00A2510D">
              <w:t>reports can</w:t>
            </w:r>
            <w:r w:rsidR="00693D4F">
              <w:t xml:space="preserve"> be made</w:t>
            </w:r>
          </w:p>
          <w:p w14:paraId="18BE84C8" w14:textId="183E6859" w:rsidR="00693D4F" w:rsidRPr="00833509" w:rsidRDefault="00611E74" w:rsidP="003D17D7">
            <w:pPr>
              <w:pStyle w:val="notestylebullets"/>
              <w:spacing w:after="240"/>
              <w:ind w:left="590" w:hanging="284"/>
            </w:pPr>
            <w:r>
              <w:t>i</w:t>
            </w:r>
            <w:r w:rsidR="00693D4F" w:rsidRPr="00CF10E0">
              <w:t>f the responsibility</w:t>
            </w:r>
            <w:r w:rsidR="00693D4F">
              <w:t xml:space="preserve"> of receiving voluntary PIDs</w:t>
            </w:r>
            <w:r w:rsidR="00693D4F" w:rsidRPr="00CF10E0">
              <w:t xml:space="preserve"> has been delegated</w:t>
            </w:r>
            <w:r w:rsidR="00693D4F">
              <w:t xml:space="preserve"> to another entity under s</w:t>
            </w:r>
            <w:r w:rsidR="00337EF3">
              <w:t>ection</w:t>
            </w:r>
            <w:r w:rsidR="00693D4F">
              <w:t xml:space="preserve"> 81(3)(a) of the PID Act</w:t>
            </w:r>
            <w:r>
              <w:t>,</w:t>
            </w:r>
            <w:r w:rsidR="00693D4F">
              <w:t xml:space="preserve"> information about how a </w:t>
            </w:r>
            <w:r w:rsidR="00A2510D">
              <w:t xml:space="preserve">report </w:t>
            </w:r>
            <w:r w:rsidR="00693D4F">
              <w:t>can be made to that entity.</w:t>
            </w:r>
          </w:p>
        </w:tc>
      </w:tr>
    </w:tbl>
    <w:p w14:paraId="3AC65889" w14:textId="0EC3944C" w:rsidR="00995B70" w:rsidRDefault="003D17D7" w:rsidP="00E3369E">
      <w:pPr>
        <w:pStyle w:val="Heading3"/>
        <w:numPr>
          <w:ilvl w:val="0"/>
          <w:numId w:val="15"/>
        </w:numPr>
        <w:ind w:left="357" w:hanging="357"/>
      </w:pPr>
      <w:r>
        <w:t xml:space="preserve"> </w:t>
      </w:r>
      <w:bookmarkStart w:id="128" w:name="_Toc140251722"/>
      <w:r w:rsidR="00995B70" w:rsidRPr="00833509">
        <w:t>What should I include in my report?</w:t>
      </w:r>
      <w:bookmarkEnd w:id="128"/>
    </w:p>
    <w:p w14:paraId="2E1BB661" w14:textId="19DFDA57" w:rsidR="00995B70" w:rsidRDefault="00B56946" w:rsidP="003D17D7">
      <w:pPr>
        <w:pStyle w:val="BodyText"/>
        <w:ind w:right="119"/>
      </w:pPr>
      <w:r>
        <w:t xml:space="preserve">You should provide as much information as possible so we can </w:t>
      </w:r>
      <w:r w:rsidR="00F8178B">
        <w:t>deal with</w:t>
      </w:r>
      <w:r>
        <w:t xml:space="preserve"> the report</w:t>
      </w:r>
      <w:r w:rsidR="00611E74">
        <w:t xml:space="preserve"> effectively</w:t>
      </w:r>
      <w:r>
        <w:t xml:space="preserve">. The type of information you should include </w:t>
      </w:r>
      <w:r w:rsidR="00F51AD0">
        <w:t>is:</w:t>
      </w:r>
    </w:p>
    <w:p w14:paraId="18801026" w14:textId="6498C679" w:rsidR="00F51AD0" w:rsidRDefault="00F51AD0" w:rsidP="003D17D7">
      <w:pPr>
        <w:pStyle w:val="ListParagraph"/>
      </w:pPr>
      <w:r>
        <w:t>date, time and location of key events</w:t>
      </w:r>
    </w:p>
    <w:p w14:paraId="369FCF57" w14:textId="54030BD0" w:rsidR="00F51AD0" w:rsidRDefault="00F51AD0" w:rsidP="003D17D7">
      <w:pPr>
        <w:pStyle w:val="ListParagraph"/>
        <w:ind w:right="261"/>
      </w:pPr>
      <w:r>
        <w:t>names of person</w:t>
      </w:r>
      <w:r w:rsidR="00CF6C8C">
        <w:t>(s) involved</w:t>
      </w:r>
      <w:r w:rsidR="002E2F4B">
        <w:t xml:space="preserve"> in the suspected wrongdoing</w:t>
      </w:r>
      <w:r w:rsidR="00CF6C8C">
        <w:t>, their role</w:t>
      </w:r>
      <w:r w:rsidR="00611E74">
        <w:t>,</w:t>
      </w:r>
      <w:r w:rsidR="00CF6C8C">
        <w:t xml:space="preserve"> title and how they are involved</w:t>
      </w:r>
    </w:p>
    <w:p w14:paraId="3FDA0791" w14:textId="13E90E12" w:rsidR="00CF6C8C" w:rsidRDefault="003651BC" w:rsidP="003D17D7">
      <w:pPr>
        <w:pStyle w:val="ListParagraph"/>
      </w:pPr>
      <w:r>
        <w:t>your relationship with the person(s) involved, such as whether you work closely with them</w:t>
      </w:r>
    </w:p>
    <w:p w14:paraId="7B8A5D04" w14:textId="6ECD8467" w:rsidR="00A847A2" w:rsidRDefault="00A847A2" w:rsidP="003D17D7">
      <w:pPr>
        <w:pStyle w:val="ListParagraph"/>
      </w:pPr>
      <w:r>
        <w:t>your explanation of the matter you are reporting</w:t>
      </w:r>
    </w:p>
    <w:p w14:paraId="2074C0F4" w14:textId="5D5D68A4" w:rsidR="003651BC" w:rsidRDefault="00A847A2" w:rsidP="003D17D7">
      <w:pPr>
        <w:pStyle w:val="ListParagraph"/>
      </w:pPr>
      <w:r>
        <w:t>how you became aware of the matter you are reporting</w:t>
      </w:r>
    </w:p>
    <w:p w14:paraId="54B1F3BC" w14:textId="68673712" w:rsidR="00A847A2" w:rsidRDefault="00A847A2" w:rsidP="003D17D7">
      <w:pPr>
        <w:pStyle w:val="ListParagraph"/>
      </w:pPr>
      <w:r>
        <w:t>possible witnesses</w:t>
      </w:r>
    </w:p>
    <w:p w14:paraId="20830105" w14:textId="5AB89AA2" w:rsidR="005B36FE" w:rsidRPr="005B36FE" w:rsidRDefault="005B36FE" w:rsidP="003D17D7">
      <w:pPr>
        <w:pStyle w:val="ListParagraph"/>
      </w:pPr>
      <w:r>
        <w:t xml:space="preserve">other information you have </w:t>
      </w:r>
      <w:r w:rsidR="00611E74">
        <w:t>that</w:t>
      </w:r>
      <w:r>
        <w:t xml:space="preserve"> supports your report. </w:t>
      </w:r>
    </w:p>
    <w:p w14:paraId="58DAC844" w14:textId="7B51DE21" w:rsidR="00CF10E0" w:rsidRPr="00F73C6B" w:rsidRDefault="003D17D7" w:rsidP="00E3369E">
      <w:pPr>
        <w:pStyle w:val="Heading3"/>
        <w:numPr>
          <w:ilvl w:val="0"/>
          <w:numId w:val="15"/>
        </w:numPr>
        <w:ind w:left="357" w:hanging="357"/>
      </w:pPr>
      <w:r>
        <w:t xml:space="preserve"> </w:t>
      </w:r>
      <w:bookmarkStart w:id="129" w:name="_Toc140251723"/>
      <w:r w:rsidR="00613922">
        <w:t>What if I</w:t>
      </w:r>
      <w:r w:rsidR="00611E74">
        <w:t xml:space="preserve"> a</w:t>
      </w:r>
      <w:r w:rsidR="00613922">
        <w:t>m not sure if my report is a PID?</w:t>
      </w:r>
      <w:bookmarkEnd w:id="129"/>
    </w:p>
    <w:p w14:paraId="09EB0A51" w14:textId="41979355" w:rsidR="005B36FE" w:rsidRDefault="00CF10E0" w:rsidP="003D17D7">
      <w:pPr>
        <w:pStyle w:val="BodyText"/>
      </w:pPr>
      <w:r w:rsidRPr="00CF10E0">
        <w:t xml:space="preserve">You should report all wrongdoing you become aware of </w:t>
      </w:r>
      <w:r w:rsidR="00854AB3">
        <w:t xml:space="preserve">regardless of </w:t>
      </w:r>
      <w:r w:rsidRPr="00CF10E0">
        <w:t>whether you think it</w:t>
      </w:r>
      <w:r w:rsidR="00CB2560">
        <w:t xml:space="preserve"> is</w:t>
      </w:r>
      <w:r w:rsidRPr="00CF10E0">
        <w:t xml:space="preserve"> serious wrongdoing. It is important for </w:t>
      </w:r>
      <w:r w:rsidR="00CD3964">
        <w:t>[</w:t>
      </w:r>
      <w:r w:rsidR="005B36FE">
        <w:t>us/</w:t>
      </w:r>
      <w:r w:rsidR="003F5A28">
        <w:t>agency name]</w:t>
      </w:r>
      <w:r w:rsidRPr="00CF10E0">
        <w:t xml:space="preserve"> to understand what is or may be occurring</w:t>
      </w:r>
      <w:r w:rsidR="004D2953">
        <w:t>.</w:t>
      </w:r>
    </w:p>
    <w:p w14:paraId="189CC919" w14:textId="35470504" w:rsidR="00CF10E0" w:rsidRDefault="005B36FE" w:rsidP="003D17D7">
      <w:pPr>
        <w:pStyle w:val="BodyText"/>
      </w:pPr>
      <w:r>
        <w:t xml:space="preserve">We are then responsible </w:t>
      </w:r>
      <w:r w:rsidR="00CD56AD">
        <w:t>for making</w:t>
      </w:r>
      <w:r>
        <w:t xml:space="preserve"> sure your report is handled </w:t>
      </w:r>
      <w:r w:rsidR="00B02FD1">
        <w:t>appropriately under the PID Act, or if it is not a PID, in line with our other procedures</w:t>
      </w:r>
      <w:r w:rsidR="00C055F7">
        <w:t>.</w:t>
      </w:r>
      <w:r w:rsidR="00CF10E0" w:rsidRPr="00CF10E0">
        <w:t xml:space="preserve"> </w:t>
      </w:r>
      <w:r w:rsidR="00C055F7">
        <w:t>E</w:t>
      </w:r>
      <w:r w:rsidR="00B97E9D">
        <w:t xml:space="preserve">ven if your </w:t>
      </w:r>
      <w:r w:rsidR="00A2510D">
        <w:t>report</w:t>
      </w:r>
      <w:r w:rsidR="00B97E9D">
        <w:t xml:space="preserve"> is not a PID</w:t>
      </w:r>
      <w:r w:rsidR="00611E74">
        <w:t>,</w:t>
      </w:r>
      <w:r w:rsidR="00B97E9D">
        <w:t xml:space="preserve"> it may </w:t>
      </w:r>
      <w:r w:rsidR="00136138">
        <w:t xml:space="preserve">fall within another one of the agency’s policies for dealing with reports, </w:t>
      </w:r>
      <w:r w:rsidR="00C33A6D">
        <w:t>allegations</w:t>
      </w:r>
      <w:r w:rsidR="00136138">
        <w:t xml:space="preserve"> or complaints</w:t>
      </w:r>
      <w:r w:rsidR="003D17D7">
        <w:t>.</w:t>
      </w:r>
    </w:p>
    <w:p w14:paraId="764AE228" w14:textId="0A08CB34" w:rsidR="004957CB" w:rsidRDefault="00834D1C" w:rsidP="00E3369E">
      <w:pPr>
        <w:pStyle w:val="Heading3"/>
        <w:numPr>
          <w:ilvl w:val="0"/>
          <w:numId w:val="15"/>
        </w:numPr>
        <w:ind w:left="357" w:hanging="357"/>
        <w:rPr>
          <w:rFonts w:eastAsia="Calibri"/>
        </w:rPr>
      </w:pPr>
      <w:bookmarkStart w:id="130" w:name="_Toc140251724"/>
      <w:r w:rsidRPr="00833509">
        <w:rPr>
          <w:rFonts w:eastAsia="Calibri"/>
        </w:rPr>
        <w:t xml:space="preserve">Deeming </w:t>
      </w:r>
      <w:r w:rsidR="00CE6173">
        <w:rPr>
          <w:rFonts w:eastAsia="Calibri"/>
        </w:rPr>
        <w:t xml:space="preserve">that </w:t>
      </w:r>
      <w:r w:rsidRPr="00833509">
        <w:rPr>
          <w:rFonts w:eastAsia="Calibri"/>
        </w:rPr>
        <w:t>a report is a voluntary PID</w:t>
      </w:r>
      <w:bookmarkEnd w:id="130"/>
    </w:p>
    <w:p w14:paraId="150AD651" w14:textId="551B0E84" w:rsidR="00834D1C" w:rsidRPr="00833509" w:rsidRDefault="00CD23FF" w:rsidP="003D17D7">
      <w:pPr>
        <w:pStyle w:val="BodyText"/>
      </w:pPr>
      <w:r w:rsidRPr="00833509">
        <w:t xml:space="preserve">The </w:t>
      </w:r>
      <w:r w:rsidR="00CD3964">
        <w:t>[</w:t>
      </w:r>
      <w:r w:rsidRPr="00833509">
        <w:t>head of agency</w:t>
      </w:r>
      <w:r w:rsidR="008269A4" w:rsidRPr="00833509">
        <w:t>/delegate</w:t>
      </w:r>
      <w:r w:rsidR="00306A70" w:rsidRPr="00833509">
        <w:t>]</w:t>
      </w:r>
      <w:r w:rsidRPr="00833509">
        <w:t xml:space="preserve"> </w:t>
      </w:r>
      <w:r w:rsidR="008907E0" w:rsidRPr="00833509">
        <w:t>can</w:t>
      </w:r>
      <w:r w:rsidRPr="00833509">
        <w:t xml:space="preserve">, in certain circumstances, determine that a </w:t>
      </w:r>
      <w:r w:rsidR="00D30DF1" w:rsidRPr="00833509">
        <w:t>report</w:t>
      </w:r>
      <w:r w:rsidRPr="00833509">
        <w:t xml:space="preserve"> is a voluntary PID even if the report does not otherwise have all the features of a voluntary PID. This is </w:t>
      </w:r>
      <w:r w:rsidR="00144152" w:rsidRPr="00833509">
        <w:t xml:space="preserve">known </w:t>
      </w:r>
      <w:r w:rsidR="00306A70" w:rsidRPr="00833509">
        <w:t xml:space="preserve">as </w:t>
      </w:r>
      <w:r w:rsidRPr="00833509">
        <w:t>the ‘deeming power’.</w:t>
      </w:r>
    </w:p>
    <w:p w14:paraId="3398F3A5" w14:textId="372479A2" w:rsidR="008165F9" w:rsidRPr="00833509" w:rsidRDefault="00061D27" w:rsidP="003D17D7">
      <w:pPr>
        <w:pStyle w:val="BodyText"/>
      </w:pPr>
      <w:r w:rsidRPr="000A7D1A">
        <w:rPr>
          <w:rFonts w:eastAsia="Calibri"/>
        </w:rPr>
        <w:t xml:space="preserve">By deeming that a </w:t>
      </w:r>
      <w:r w:rsidR="00A2510D">
        <w:rPr>
          <w:rFonts w:eastAsia="Calibri"/>
        </w:rPr>
        <w:t>report</w:t>
      </w:r>
      <w:r w:rsidR="00A2510D" w:rsidRPr="000A7D1A">
        <w:rPr>
          <w:rFonts w:eastAsia="Calibri"/>
        </w:rPr>
        <w:t xml:space="preserve"> </w:t>
      </w:r>
      <w:r w:rsidRPr="000A7D1A">
        <w:rPr>
          <w:rFonts w:eastAsia="Calibri"/>
        </w:rPr>
        <w:t>is a voluntary PID, it ensures that reporters are provided with protections</w:t>
      </w:r>
      <w:r w:rsidR="00427986" w:rsidRPr="00833509">
        <w:rPr>
          <w:rFonts w:eastAsia="Calibri"/>
        </w:rPr>
        <w:t xml:space="preserve"> under the PID Act</w:t>
      </w:r>
      <w:r w:rsidRPr="000A7D1A">
        <w:rPr>
          <w:rFonts w:eastAsia="Calibri"/>
        </w:rPr>
        <w:t>.</w:t>
      </w:r>
    </w:p>
    <w:p w14:paraId="3C93E00B" w14:textId="77777777" w:rsidR="008165F9" w:rsidRPr="00833509" w:rsidRDefault="008165F9">
      <w:pPr>
        <w:rPr>
          <w:rFonts w:ascii="Arial" w:hAnsi="Arial" w:cs="Arial"/>
        </w:rPr>
      </w:pPr>
    </w:p>
    <w:p w14:paraId="427F1AD1" w14:textId="3FD84628" w:rsidR="008165F9" w:rsidRDefault="00C80961" w:rsidP="003D17D7">
      <w:pPr>
        <w:pStyle w:val="BodyText"/>
      </w:pPr>
      <w:r w:rsidRPr="00833509">
        <w:lastRenderedPageBreak/>
        <w:t xml:space="preserve">If you make a report </w:t>
      </w:r>
      <w:r w:rsidR="008269A4" w:rsidRPr="00833509">
        <w:t xml:space="preserve">that has not </w:t>
      </w:r>
      <w:r w:rsidR="00254C98" w:rsidRPr="00833509">
        <w:t>met all the requirements of a voluntary PID</w:t>
      </w:r>
      <w:r w:rsidRPr="00833509">
        <w:t xml:space="preserve">, </w:t>
      </w:r>
      <w:r w:rsidR="00C5235D" w:rsidRPr="00833509">
        <w:t>you can refer you</w:t>
      </w:r>
      <w:r w:rsidR="00427986" w:rsidRPr="00833509">
        <w:t>r</w:t>
      </w:r>
      <w:r w:rsidR="00C5235D" w:rsidRPr="00833509">
        <w:t xml:space="preserve"> matter to </w:t>
      </w:r>
      <w:r w:rsidR="00CD3964">
        <w:t>[</w:t>
      </w:r>
      <w:r w:rsidR="00C5235D" w:rsidRPr="00833509">
        <w:t>head of agency</w:t>
      </w:r>
      <w:r w:rsidR="00427986" w:rsidRPr="00833509">
        <w:t>/delegate</w:t>
      </w:r>
      <w:r w:rsidR="00C5235D" w:rsidRPr="00833509">
        <w:t xml:space="preserve">] </w:t>
      </w:r>
      <w:r w:rsidR="00254C98" w:rsidRPr="00833509">
        <w:t>to request that they consider deeming your report to be a voluntary PID.</w:t>
      </w:r>
    </w:p>
    <w:p w14:paraId="77B2308D" w14:textId="05347A41" w:rsidR="008165F9" w:rsidRPr="00833509" w:rsidRDefault="00F45DBC" w:rsidP="003D17D7">
      <w:pPr>
        <w:pStyle w:val="BodyText"/>
      </w:pPr>
      <w:r w:rsidRPr="00833509">
        <w:t>A</w:t>
      </w:r>
      <w:r w:rsidR="00813224" w:rsidRPr="00833509">
        <w:t xml:space="preserve"> decision </w:t>
      </w:r>
      <w:r w:rsidR="0015032C" w:rsidRPr="00833509">
        <w:t>to deem a report to be a voluntary PID is at the discretion</w:t>
      </w:r>
      <w:r w:rsidRPr="00833509">
        <w:t xml:space="preserve"> of the </w:t>
      </w:r>
      <w:r w:rsidR="00CD3964">
        <w:t>[</w:t>
      </w:r>
      <w:r w:rsidRPr="00833509">
        <w:t>head of agency/</w:t>
      </w:r>
      <w:r w:rsidR="0021024F" w:rsidRPr="00833509">
        <w:t xml:space="preserve">delegate]. </w:t>
      </w:r>
      <w:r w:rsidR="00E4171B" w:rsidRPr="00833509">
        <w:t xml:space="preserve">For more </w:t>
      </w:r>
      <w:r w:rsidR="00BC1B72" w:rsidRPr="00833509">
        <w:t>information</w:t>
      </w:r>
      <w:r w:rsidR="00E4171B" w:rsidRPr="00833509">
        <w:t xml:space="preserve"> about </w:t>
      </w:r>
      <w:r w:rsidR="006834F4" w:rsidRPr="00833509">
        <w:t>the deeming power</w:t>
      </w:r>
      <w:r w:rsidR="00611E74">
        <w:t>,</w:t>
      </w:r>
      <w:r w:rsidR="00E4171B" w:rsidRPr="00833509">
        <w:t xml:space="preserve"> see the </w:t>
      </w:r>
      <w:r w:rsidR="00BC1B72" w:rsidRPr="00833509">
        <w:t>Ombudsman’s</w:t>
      </w:r>
      <w:r w:rsidR="00E4171B" w:rsidRPr="00833509">
        <w:t xml:space="preserve"> guideline </w:t>
      </w:r>
      <w:r w:rsidR="00AD544C">
        <w:t>‘D</w:t>
      </w:r>
      <w:r w:rsidR="00BC1B72" w:rsidRPr="00833509">
        <w:t xml:space="preserve">eeming </w:t>
      </w:r>
      <w:r w:rsidR="00AD544C">
        <w:t xml:space="preserve">that </w:t>
      </w:r>
      <w:r w:rsidR="00BC1B72" w:rsidRPr="00833509">
        <w:t xml:space="preserve">a disclosure </w:t>
      </w:r>
      <w:r w:rsidR="006834F4" w:rsidRPr="00833509">
        <w:t>is</w:t>
      </w:r>
      <w:r w:rsidR="00BC1B72" w:rsidRPr="00833509">
        <w:t xml:space="preserve"> a voluntary PID</w:t>
      </w:r>
      <w:r w:rsidR="00AD544C">
        <w:t>’</w:t>
      </w:r>
      <w:r w:rsidR="00BC1B72" w:rsidRPr="000A7D1A">
        <w:t>.</w:t>
      </w:r>
    </w:p>
    <w:p w14:paraId="280F6FEB" w14:textId="77777777" w:rsidR="00693D4F" w:rsidRDefault="00693D4F"/>
    <w:tbl>
      <w:tblPr>
        <w:tblStyle w:val="TableGrid"/>
        <w:tblW w:w="0" w:type="auto"/>
        <w:tblBorders>
          <w:top w:val="single" w:sz="4" w:space="0" w:color="0A4047"/>
          <w:left w:val="single" w:sz="4" w:space="0" w:color="0A4047"/>
          <w:bottom w:val="single" w:sz="4" w:space="0" w:color="0A4047"/>
          <w:right w:val="single" w:sz="4" w:space="0" w:color="0A4047"/>
        </w:tblBorders>
        <w:shd w:val="clear" w:color="auto" w:fill="CEDDD4"/>
        <w:tblLook w:val="04A0" w:firstRow="1" w:lastRow="0" w:firstColumn="1" w:lastColumn="0" w:noHBand="0" w:noVBand="1"/>
      </w:tblPr>
      <w:tblGrid>
        <w:gridCol w:w="8898"/>
      </w:tblGrid>
      <w:tr w:rsidR="00693D4F" w14:paraId="250A94DA" w14:textId="77777777" w:rsidTr="003D17D7">
        <w:tc>
          <w:tcPr>
            <w:tcW w:w="9060" w:type="dxa"/>
            <w:shd w:val="clear" w:color="auto" w:fill="CEDDD4"/>
          </w:tcPr>
          <w:p w14:paraId="16F73720" w14:textId="76736495" w:rsidR="00693D4F" w:rsidRDefault="000A7D1A" w:rsidP="003D17D7">
            <w:pPr>
              <w:pStyle w:val="Notestyle"/>
            </w:pPr>
            <w:r w:rsidRPr="001036E3">
              <w:rPr>
                <w:rFonts w:eastAsia="Calibri"/>
                <w:b/>
                <w:iCs w:val="0"/>
                <w:kern w:val="2"/>
                <w14:ligatures w14:val="standardContextual"/>
              </w:rPr>
              <w:t>Guidance</w:t>
            </w:r>
            <w:r w:rsidR="00693D4F" w:rsidRPr="0093701F">
              <w:rPr>
                <w:rFonts w:eastAsia="Calibri"/>
                <w:kern w:val="2"/>
                <w14:ligatures w14:val="standardContextual"/>
              </w:rPr>
              <w:t>:</w:t>
            </w:r>
            <w:r w:rsidR="00693D4F" w:rsidRPr="00833509">
              <w:rPr>
                <w:rFonts w:eastAsia="Calibri"/>
                <w:kern w:val="2"/>
                <w14:ligatures w14:val="standardContextual"/>
              </w:rPr>
              <w:t xml:space="preserve"> </w:t>
            </w:r>
            <w:r w:rsidR="00693D4F" w:rsidRPr="00833509">
              <w:t>Agencies should include information about the process for referring a report for consideration for it to be deemed a voluntary PID. If the deeming power has been delegated, details of the delegate should be provided.</w:t>
            </w:r>
          </w:p>
        </w:tc>
      </w:tr>
    </w:tbl>
    <w:p w14:paraId="25B764B6" w14:textId="77777777" w:rsidR="00C817B7" w:rsidRPr="0093701F" w:rsidRDefault="00C817B7" w:rsidP="00C817B7"/>
    <w:p w14:paraId="4200B67D" w14:textId="74280E96" w:rsidR="009A555F" w:rsidRDefault="009A555F" w:rsidP="00E3369E">
      <w:pPr>
        <w:pStyle w:val="Heading3"/>
        <w:numPr>
          <w:ilvl w:val="0"/>
          <w:numId w:val="15"/>
        </w:numPr>
        <w:ind w:left="567" w:hanging="567"/>
        <w:rPr>
          <w:rFonts w:eastAsia="Calibri"/>
        </w:rPr>
      </w:pPr>
      <w:bookmarkStart w:id="131" w:name="_Toc140251725"/>
      <w:r w:rsidRPr="008D417E">
        <w:rPr>
          <w:rFonts w:eastAsia="Calibri"/>
        </w:rPr>
        <w:t xml:space="preserve">Who </w:t>
      </w:r>
      <w:r w:rsidR="00CC373D">
        <w:rPr>
          <w:rFonts w:eastAsia="Calibri"/>
        </w:rPr>
        <w:t xml:space="preserve">can I talk to if </w:t>
      </w:r>
      <w:r w:rsidR="00B920DE">
        <w:rPr>
          <w:rFonts w:eastAsia="Calibri"/>
        </w:rPr>
        <w:t>I</w:t>
      </w:r>
      <w:r w:rsidRPr="008D417E">
        <w:rPr>
          <w:rFonts w:eastAsia="Calibri"/>
        </w:rPr>
        <w:t xml:space="preserve"> have questions or concerns</w:t>
      </w:r>
      <w:r w:rsidRPr="00CC373D">
        <w:rPr>
          <w:rFonts w:eastAsia="Calibri"/>
        </w:rPr>
        <w:t>?</w:t>
      </w:r>
      <w:bookmarkEnd w:id="131"/>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693D4F" w14:paraId="162C4E1E" w14:textId="77777777" w:rsidTr="003D17D7">
        <w:tc>
          <w:tcPr>
            <w:tcW w:w="9060" w:type="dxa"/>
            <w:shd w:val="clear" w:color="auto" w:fill="CEDDD4"/>
          </w:tcPr>
          <w:p w14:paraId="40D067D6" w14:textId="48A9E8C0" w:rsidR="00693D4F" w:rsidRDefault="000A7D1A" w:rsidP="003D17D7">
            <w:pPr>
              <w:pStyle w:val="Notestyle"/>
            </w:pPr>
            <w:r w:rsidRPr="001036E3">
              <w:rPr>
                <w:rFonts w:eastAsia="Calibri"/>
                <w:b/>
                <w:iCs w:val="0"/>
                <w:kern w:val="2"/>
                <w14:ligatures w14:val="standardContextual"/>
              </w:rPr>
              <w:t>Guidance</w:t>
            </w:r>
            <w:r w:rsidR="00693D4F" w:rsidRPr="0093701F">
              <w:rPr>
                <w:rFonts w:eastAsia="Calibri"/>
                <w:kern w:val="2"/>
                <w14:ligatures w14:val="standardContextual"/>
              </w:rPr>
              <w:t>:</w:t>
            </w:r>
            <w:r w:rsidR="00693D4F">
              <w:rPr>
                <w:rFonts w:eastAsia="Calibri"/>
                <w:kern w:val="2"/>
                <w14:ligatures w14:val="standardContextual"/>
              </w:rPr>
              <w:t xml:space="preserve"> </w:t>
            </w:r>
            <w:r w:rsidR="00693D4F" w:rsidRPr="002B7604">
              <w:t xml:space="preserve">This </w:t>
            </w:r>
            <w:r w:rsidR="00693D4F">
              <w:t>should</w:t>
            </w:r>
            <w:r w:rsidR="00693D4F" w:rsidRPr="002B7604">
              <w:t xml:space="preserve"> include contact details for business units</w:t>
            </w:r>
            <w:r w:rsidR="00693D4F">
              <w:t xml:space="preserve"> or disclosure officers</w:t>
            </w:r>
            <w:r w:rsidR="00693D4F" w:rsidRPr="002B7604">
              <w:t xml:space="preserve"> </w:t>
            </w:r>
            <w:r w:rsidR="00693D4F">
              <w:t>who</w:t>
            </w:r>
            <w:r w:rsidR="00693D4F" w:rsidRPr="002B7604">
              <w:t xml:space="preserve"> can provide further information </w:t>
            </w:r>
            <w:r w:rsidR="00693D4F">
              <w:t>so that concerns can be addressed</w:t>
            </w:r>
            <w:r w:rsidR="00693D4F">
              <w:rPr>
                <w:i/>
              </w:rPr>
              <w:t xml:space="preserve">. </w:t>
            </w:r>
            <w:r w:rsidR="00693D4F">
              <w:t xml:space="preserve">You should include information about how someone can do this confidentially. </w:t>
            </w:r>
          </w:p>
        </w:tc>
      </w:tr>
    </w:tbl>
    <w:p w14:paraId="1D48ADC6" w14:textId="17B99722" w:rsidR="00C22C6C" w:rsidRPr="008D417E" w:rsidRDefault="00C22C6C" w:rsidP="00E3369E">
      <w:pPr>
        <w:pStyle w:val="Heading2"/>
        <w:numPr>
          <w:ilvl w:val="0"/>
          <w:numId w:val="16"/>
        </w:numPr>
        <w:ind w:left="567" w:hanging="567"/>
      </w:pPr>
      <w:bookmarkStart w:id="132" w:name="_Toc140251726"/>
      <w:r w:rsidRPr="008D417E">
        <w:t>Protections</w:t>
      </w:r>
      <w:bookmarkEnd w:id="132"/>
      <w:r w:rsidRPr="008D417E">
        <w:t xml:space="preserve"> </w:t>
      </w:r>
    </w:p>
    <w:p w14:paraId="499BFA25" w14:textId="682BAC7A" w:rsidR="000A54B8" w:rsidRPr="008D417E" w:rsidRDefault="009A555F" w:rsidP="00E3369E">
      <w:pPr>
        <w:pStyle w:val="Heading3"/>
        <w:numPr>
          <w:ilvl w:val="0"/>
          <w:numId w:val="17"/>
        </w:numPr>
        <w:ind w:left="567" w:hanging="567"/>
      </w:pPr>
      <w:bookmarkStart w:id="133" w:name="_Toc140251727"/>
      <w:r w:rsidRPr="008D417E">
        <w:t>How is the maker of a voluntary PID protected?</w:t>
      </w:r>
      <w:bookmarkEnd w:id="133"/>
      <w:r w:rsidR="000A54B8" w:rsidRPr="008D417E">
        <w:t xml:space="preserve"> </w:t>
      </w:r>
    </w:p>
    <w:p w14:paraId="5D389454" w14:textId="1053F09E" w:rsidR="009D3F50" w:rsidRDefault="00534DCC" w:rsidP="00FC5D31">
      <w:pPr>
        <w:pStyle w:val="BodyText"/>
      </w:pPr>
      <w:r>
        <w:t>When you make a voluntary PID you receive special protections under the PID Act.</w:t>
      </w:r>
    </w:p>
    <w:p w14:paraId="56881166" w14:textId="7F428E66" w:rsidR="00D8552E" w:rsidRDefault="00D8552E" w:rsidP="00FC5D31">
      <w:pPr>
        <w:pStyle w:val="BodyText"/>
      </w:pPr>
      <w:r>
        <w:t>We are committed to taking all reasonable steps to protect you from detriment as a result of having made a PID. We are also committed to maintaining your confidentiality as much as possible whil</w:t>
      </w:r>
      <w:r w:rsidR="008015EA">
        <w:t>e</w:t>
      </w:r>
      <w:r>
        <w:t xml:space="preserve"> the PID is being dealt with.</w:t>
      </w:r>
    </w:p>
    <w:p w14:paraId="7B972F70" w14:textId="375DD751" w:rsidR="00D8552E" w:rsidRDefault="00C518F6" w:rsidP="00FC5D31">
      <w:pPr>
        <w:pStyle w:val="BodyText"/>
      </w:pPr>
      <w:r>
        <w:t>We will not tolerate</w:t>
      </w:r>
      <w:r w:rsidR="00A465EC">
        <w:t xml:space="preserve"> any type of detrimental action </w:t>
      </w:r>
      <w:r w:rsidR="008015EA">
        <w:t>being</w:t>
      </w:r>
      <w:r w:rsidR="00A465EC">
        <w:t xml:space="preserve"> take</w:t>
      </w:r>
      <w:r w:rsidR="0039618B">
        <w:t>n</w:t>
      </w:r>
      <w:r w:rsidR="00A465EC">
        <w:t xml:space="preserve"> against you because you have made a report, might make a report or are believed to have made a report.</w:t>
      </w:r>
    </w:p>
    <w:p w14:paraId="355E7866" w14:textId="5A1B9DF3" w:rsidR="002463FE" w:rsidRPr="00FC5D31" w:rsidRDefault="00EB5A0D" w:rsidP="00FC5D31">
      <w:pPr>
        <w:pStyle w:val="BodyText"/>
      </w:pPr>
      <w:r>
        <w:t>The maker of a voluntary PID is protected</w:t>
      </w:r>
      <w:r w:rsidR="002463FE">
        <w:t xml:space="preserve"> in the following ways:</w:t>
      </w:r>
    </w:p>
    <w:p w14:paraId="6802D87A" w14:textId="261A066F" w:rsidR="0032214D" w:rsidRPr="00BF7C8F" w:rsidRDefault="00D121F7" w:rsidP="008969E6">
      <w:pPr>
        <w:pStyle w:val="ListParagraph"/>
        <w:numPr>
          <w:ilvl w:val="0"/>
          <w:numId w:val="2"/>
        </w:numPr>
        <w:rPr>
          <w:i/>
          <w:iCs/>
        </w:rPr>
      </w:pPr>
      <w:r w:rsidRPr="00BF7C8F">
        <w:rPr>
          <w:i/>
          <w:iCs/>
        </w:rPr>
        <w:t>Protection from detrimental action</w:t>
      </w:r>
    </w:p>
    <w:p w14:paraId="78FE08DA" w14:textId="6D815C49" w:rsidR="00F73F18" w:rsidRDefault="00E748F0" w:rsidP="00FC5D31">
      <w:pPr>
        <w:pStyle w:val="ListBullet2"/>
      </w:pPr>
      <w:r>
        <w:t>A</w:t>
      </w:r>
      <w:r w:rsidR="002463FE">
        <w:t xml:space="preserve"> person cannot take detrimental action against a</w:t>
      </w:r>
      <w:r w:rsidR="00611E74">
        <w:t>nother</w:t>
      </w:r>
      <w:r w:rsidR="002463FE">
        <w:t xml:space="preserve"> person because they </w:t>
      </w:r>
      <w:r w:rsidR="00D121F7">
        <w:t xml:space="preserve">have made a voluntary PID or are considering making a </w:t>
      </w:r>
      <w:r w:rsidR="000F3523">
        <w:t xml:space="preserve">PID. </w:t>
      </w:r>
      <w:r w:rsidR="000060D9">
        <w:t xml:space="preserve">Detrimental action includes bullying, harassment, intimidation or dismissal. </w:t>
      </w:r>
    </w:p>
    <w:p w14:paraId="0C166F0D" w14:textId="4B9703B1" w:rsidR="00CC02D1" w:rsidRPr="00B312B0" w:rsidRDefault="000C7723" w:rsidP="00FC5D31">
      <w:pPr>
        <w:pStyle w:val="ListBullet2"/>
      </w:pPr>
      <w:r w:rsidRPr="00833509">
        <w:t xml:space="preserve">Once we become aware </w:t>
      </w:r>
      <w:r w:rsidR="00294645" w:rsidRPr="00833509">
        <w:t xml:space="preserve">that </w:t>
      </w:r>
      <w:r w:rsidRPr="00833509">
        <w:t>a voluntary PID</w:t>
      </w:r>
      <w:r w:rsidR="00B62FD9">
        <w:t xml:space="preserve"> by a person employed or otherwise associated</w:t>
      </w:r>
      <w:r w:rsidR="00FB6175">
        <w:t xml:space="preserve"> with </w:t>
      </w:r>
      <w:r w:rsidR="00CD3964">
        <w:t>[</w:t>
      </w:r>
      <w:r w:rsidR="00FB6175">
        <w:t>agency]</w:t>
      </w:r>
      <w:r w:rsidR="00611E74">
        <w:t xml:space="preserve"> that </w:t>
      </w:r>
      <w:r w:rsidR="00FB6175">
        <w:t xml:space="preserve">concerns serious wrongdoing relating to </w:t>
      </w:r>
      <w:r w:rsidR="00CD3964">
        <w:t>[</w:t>
      </w:r>
      <w:r w:rsidR="00FB6175">
        <w:t>agency]</w:t>
      </w:r>
      <w:r w:rsidRPr="00833509">
        <w:t xml:space="preserve"> has been made, </w:t>
      </w:r>
      <w:r w:rsidR="00CD3964">
        <w:t>[</w:t>
      </w:r>
      <w:r w:rsidRPr="00833509">
        <w:t xml:space="preserve">we/agency name] </w:t>
      </w:r>
      <w:r w:rsidR="00294645" w:rsidRPr="00833509">
        <w:t xml:space="preserve">will </w:t>
      </w:r>
      <w:r w:rsidRPr="00833509">
        <w:t xml:space="preserve">undertake a risk assessment and take steps to mitigate the risk of detrimental action occurring </w:t>
      </w:r>
      <w:r w:rsidR="00646D0A" w:rsidRPr="00833509">
        <w:t xml:space="preserve">against the person who made the voluntary PID. </w:t>
      </w:r>
    </w:p>
    <w:p w14:paraId="4C71B4CE" w14:textId="7B75720B" w:rsidR="002463FE" w:rsidRDefault="000060D9" w:rsidP="00FC5D31">
      <w:pPr>
        <w:pStyle w:val="ListBullet2"/>
      </w:pPr>
      <w:r>
        <w:t xml:space="preserve">It is a criminal offence for someone to take detrimental action </w:t>
      </w:r>
      <w:r w:rsidR="000002E8">
        <w:t xml:space="preserve">against </w:t>
      </w:r>
      <w:r w:rsidR="007E4062">
        <w:t>a person because they have made or may make a</w:t>
      </w:r>
      <w:r w:rsidR="007308D3">
        <w:t xml:space="preserve"> voluntary</w:t>
      </w:r>
      <w:r w:rsidR="007E4062">
        <w:t xml:space="preserve"> PID</w:t>
      </w:r>
      <w:r w:rsidR="007308D3">
        <w:t>.</w:t>
      </w:r>
      <w:r w:rsidR="00C77632" w:rsidRPr="00C77632">
        <w:rPr>
          <w:rFonts w:eastAsia="Times New Roman"/>
          <w:lang w:bidi="en-US"/>
        </w:rPr>
        <w:t xml:space="preserve"> </w:t>
      </w:r>
      <w:r w:rsidR="00C77632">
        <w:t>It is</w:t>
      </w:r>
      <w:r w:rsidR="00C77632" w:rsidRPr="00C77632">
        <w:t xml:space="preserve"> punishable by a maximum penalty of 200 penalty units or imprisonment for </w:t>
      </w:r>
      <w:r w:rsidR="00704953">
        <w:t>five</w:t>
      </w:r>
      <w:r w:rsidR="00C77632" w:rsidRPr="00C77632">
        <w:t xml:space="preserve"> years or both</w:t>
      </w:r>
      <w:r w:rsidR="00C77632">
        <w:t>.</w:t>
      </w:r>
    </w:p>
    <w:p w14:paraId="568BEC83" w14:textId="63A4FA8B" w:rsidR="00E748F0" w:rsidRDefault="00C33A6D" w:rsidP="00FC5D31">
      <w:pPr>
        <w:pStyle w:val="ListBullet2"/>
      </w:pPr>
      <w:r>
        <w:t xml:space="preserve">A </w:t>
      </w:r>
      <w:r w:rsidR="008B2F1A" w:rsidRPr="00E748F0">
        <w:t>p</w:t>
      </w:r>
      <w:r w:rsidR="008B2F1A" w:rsidRPr="0049780B">
        <w:t>erson may</w:t>
      </w:r>
      <w:r w:rsidR="00800D39" w:rsidRPr="0049780B">
        <w:t xml:space="preserve"> seek compensation where unlawful detrimental action has been taken</w:t>
      </w:r>
      <w:r w:rsidR="00C518F6">
        <w:t xml:space="preserve"> against them</w:t>
      </w:r>
      <w:r w:rsidR="00800D39" w:rsidRPr="0049780B">
        <w:t>.</w:t>
      </w:r>
    </w:p>
    <w:p w14:paraId="307243D3" w14:textId="40DF6577" w:rsidR="00987AEE" w:rsidRDefault="00C33A6D" w:rsidP="00FC5D31">
      <w:pPr>
        <w:pStyle w:val="ListBullet2"/>
      </w:pPr>
      <w:r>
        <w:lastRenderedPageBreak/>
        <w:t xml:space="preserve">A </w:t>
      </w:r>
      <w:r w:rsidR="008B2F1A" w:rsidRPr="00EA05E1">
        <w:t>person can apply</w:t>
      </w:r>
      <w:r w:rsidR="002A2998" w:rsidRPr="00EA05E1">
        <w:t xml:space="preserve"> for </w:t>
      </w:r>
      <w:r w:rsidR="008A3881" w:rsidRPr="00EA05E1">
        <w:t xml:space="preserve">a </w:t>
      </w:r>
      <w:r w:rsidR="002A2998" w:rsidRPr="00EA05E1">
        <w:t>court order (injunction) where detrimental action is threatened or has occurred (for example, an order to prevent dismissal or to require reinstatement).</w:t>
      </w:r>
    </w:p>
    <w:p w14:paraId="66D66473" w14:textId="54F76314" w:rsidR="0032214D" w:rsidRPr="0093701F" w:rsidRDefault="00312750" w:rsidP="000A6B30">
      <w:pPr>
        <w:pStyle w:val="indentedtext"/>
      </w:pPr>
      <w:r>
        <w:t>Note that</w:t>
      </w:r>
      <w:r w:rsidR="0052542C">
        <w:t xml:space="preserve"> a person</w:t>
      </w:r>
      <w:r w:rsidR="002A6A5A">
        <w:t xml:space="preserve"> who makes a PID can still be subject to reasonable management action (such as ordinary performance reviews</w:t>
      </w:r>
      <w:r w:rsidR="005F7E35">
        <w:t xml:space="preserve"> and performance management).</w:t>
      </w:r>
      <w:r w:rsidR="008E70CC">
        <w:t xml:space="preserve"> </w:t>
      </w:r>
      <w:r w:rsidR="005F7E35">
        <w:t>Provided such action is not taken because of the PID, it is not detrimental action under the PID Act.</w:t>
      </w:r>
    </w:p>
    <w:p w14:paraId="25534A4B" w14:textId="4B2C8BB9" w:rsidR="0032214D" w:rsidRPr="00BF7C8F" w:rsidRDefault="007E4062" w:rsidP="008969E6">
      <w:pPr>
        <w:pStyle w:val="ListParagraph"/>
        <w:numPr>
          <w:ilvl w:val="0"/>
          <w:numId w:val="3"/>
        </w:numPr>
        <w:rPr>
          <w:i/>
          <w:iCs/>
        </w:rPr>
      </w:pPr>
      <w:r w:rsidRPr="00BF7C8F">
        <w:rPr>
          <w:i/>
          <w:iCs/>
        </w:rPr>
        <w:t>Immunity from civil and criminal liability</w:t>
      </w:r>
    </w:p>
    <w:p w14:paraId="379FF877" w14:textId="60C243EE" w:rsidR="008E70CC" w:rsidRPr="001E1EE9" w:rsidRDefault="00E138F2" w:rsidP="001E1EE9">
      <w:pPr>
        <w:pStyle w:val="indentedtext"/>
      </w:pPr>
      <w:r>
        <w:t>S</w:t>
      </w:r>
      <w:r w:rsidR="00CC1602">
        <w:t xml:space="preserve">ome </w:t>
      </w:r>
      <w:r w:rsidR="002D2B02" w:rsidRPr="002D2B02">
        <w:t xml:space="preserve">public officials are often subject to a duty of confidentiality that prevents them disclosing certain information </w:t>
      </w:r>
      <w:r w:rsidR="00415230">
        <w:t xml:space="preserve">that </w:t>
      </w:r>
      <w:r w:rsidR="002D2B02" w:rsidRPr="002D2B02">
        <w:t>they obtain or become aware of at work. Sometimes, in order to make a PID, public officials will need to breach or disregard such confidentiality duties.</w:t>
      </w:r>
      <w:r w:rsidR="00766B26">
        <w:t xml:space="preserve"> If that happens,</w:t>
      </w:r>
      <w:r w:rsidR="002D2B02" w:rsidRPr="002D2B02">
        <w:t xml:space="preserve"> </w:t>
      </w:r>
      <w:r w:rsidR="00766B26" w:rsidRPr="00766B26">
        <w:t>a public official cannot be disciplined, sued or criminally charged for breaching confidentiality.</w:t>
      </w:r>
    </w:p>
    <w:tbl>
      <w:tblPr>
        <w:tblStyle w:val="TableGrid"/>
        <w:tblW w:w="9214" w:type="dxa"/>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9214"/>
      </w:tblGrid>
      <w:tr w:rsidR="00825B53" w14:paraId="75DC76C7" w14:textId="77777777" w:rsidTr="000A6B30">
        <w:tc>
          <w:tcPr>
            <w:tcW w:w="9214" w:type="dxa"/>
            <w:shd w:val="clear" w:color="auto" w:fill="CEDDD4"/>
          </w:tcPr>
          <w:p w14:paraId="57FBE712" w14:textId="78E5201E" w:rsidR="00825B53" w:rsidRPr="00833509" w:rsidRDefault="000A7D1A" w:rsidP="000A6B30">
            <w:pPr>
              <w:pStyle w:val="Notestyle"/>
            </w:pPr>
            <w:r w:rsidRPr="001036E3">
              <w:rPr>
                <w:b/>
                <w:iCs w:val="0"/>
              </w:rPr>
              <w:t>Guidance</w:t>
            </w:r>
            <w:r w:rsidR="00825B53" w:rsidRPr="0093701F">
              <w:t>:</w:t>
            </w:r>
            <w:r w:rsidR="00825B53" w:rsidRPr="00833509">
              <w:rPr>
                <w:b/>
              </w:rPr>
              <w:t xml:space="preserve"> </w:t>
            </w:r>
            <w:r w:rsidR="00825B53" w:rsidRPr="00833509">
              <w:t>Agencies should provide agency specific context relating to the mandatory reports that staff are required to make as part of their role. Information about secrecy and confidentiality provisions relevant to the agency’s work should also be included.</w:t>
            </w:r>
            <w:r w:rsidR="00825B53">
              <w:t xml:space="preserve"> </w:t>
            </w:r>
          </w:p>
        </w:tc>
      </w:tr>
    </w:tbl>
    <w:p w14:paraId="7CBBCB41" w14:textId="06F92143" w:rsidR="0032214D" w:rsidRPr="001853C5" w:rsidRDefault="008C362D" w:rsidP="00BF7C8F">
      <w:pPr>
        <w:pStyle w:val="ListParagraph"/>
        <w:ind w:left="709"/>
        <w:rPr>
          <w:i/>
          <w:iCs/>
        </w:rPr>
      </w:pPr>
      <w:r w:rsidRPr="001853C5">
        <w:rPr>
          <w:i/>
          <w:iCs/>
        </w:rPr>
        <w:t>Confidentiality</w:t>
      </w:r>
    </w:p>
    <w:p w14:paraId="5CE5030D" w14:textId="63D3793F" w:rsidR="0032214D" w:rsidRPr="002C725C" w:rsidRDefault="00103E88" w:rsidP="00BF7C8F">
      <w:pPr>
        <w:pStyle w:val="indentedtext"/>
      </w:pPr>
      <w:r>
        <w:t>P</w:t>
      </w:r>
      <w:r w:rsidR="00641941" w:rsidRPr="00641941">
        <w:t xml:space="preserve">ublic officials and agencies must not disclose information tending to identify a person as the maker of a voluntary PID unless </w:t>
      </w:r>
      <w:r w:rsidR="004D0936">
        <w:t>doing so</w:t>
      </w:r>
      <w:r w:rsidR="00641941" w:rsidRPr="00641941">
        <w:t xml:space="preserve"> is permitted by the PID Act</w:t>
      </w:r>
      <w:r w:rsidR="00622540">
        <w:t xml:space="preserve">. </w:t>
      </w:r>
    </w:p>
    <w:p w14:paraId="02F4290C" w14:textId="1E7DADC8" w:rsidR="0032214D" w:rsidRPr="001853C5" w:rsidRDefault="00F24568" w:rsidP="00BF7C8F">
      <w:pPr>
        <w:pStyle w:val="ListParagraph"/>
        <w:ind w:left="709"/>
        <w:rPr>
          <w:i/>
          <w:iCs/>
        </w:rPr>
      </w:pPr>
      <w:r w:rsidRPr="001853C5">
        <w:rPr>
          <w:i/>
          <w:iCs/>
        </w:rPr>
        <w:t>Protection from l</w:t>
      </w:r>
      <w:r w:rsidR="00DB520E" w:rsidRPr="001853C5">
        <w:rPr>
          <w:i/>
          <w:iCs/>
        </w:rPr>
        <w:t>iability f</w:t>
      </w:r>
      <w:r w:rsidRPr="001853C5">
        <w:rPr>
          <w:i/>
          <w:iCs/>
        </w:rPr>
        <w:t xml:space="preserve">or </w:t>
      </w:r>
      <w:r w:rsidR="00EF66C5" w:rsidRPr="001853C5">
        <w:rPr>
          <w:i/>
          <w:iCs/>
        </w:rPr>
        <w:t>ow</w:t>
      </w:r>
      <w:r w:rsidR="00DB520E" w:rsidRPr="001853C5">
        <w:rPr>
          <w:i/>
          <w:iCs/>
        </w:rPr>
        <w:t>n past conduct</w:t>
      </w:r>
    </w:p>
    <w:p w14:paraId="6CEA29E6" w14:textId="0D38BC11" w:rsidR="002C4238" w:rsidRPr="00BF7C8F" w:rsidRDefault="00036ADB" w:rsidP="00BF7C8F">
      <w:pPr>
        <w:pStyle w:val="indentedtext"/>
        <w:rPr>
          <w:b/>
          <w:bCs/>
        </w:rPr>
      </w:pPr>
      <w:r>
        <w:t>T</w:t>
      </w:r>
      <w:r w:rsidR="006542B2" w:rsidRPr="0043306F">
        <w:t>he Attorney</w:t>
      </w:r>
      <w:r w:rsidR="00415230">
        <w:t xml:space="preserve"> </w:t>
      </w:r>
      <w:r w:rsidR="006542B2" w:rsidRPr="0043306F">
        <w:t>General can give the maker an undertaking that a disclosure of their own past conduct w</w:t>
      </w:r>
      <w:r w:rsidR="0043306F" w:rsidRPr="0043306F">
        <w:t xml:space="preserve">ill not be used against them </w:t>
      </w:r>
      <w:r w:rsidR="006B295A" w:rsidRPr="0043306F">
        <w:t xml:space="preserve">if a person discloses their own wrongdoing or </w:t>
      </w:r>
      <w:r w:rsidR="0043306F" w:rsidRPr="0043306F">
        <w:t>misconduct</w:t>
      </w:r>
      <w:r w:rsidR="006B295A" w:rsidRPr="0043306F">
        <w:t xml:space="preserve"> while making a </w:t>
      </w:r>
      <w:r w:rsidR="000B41CD">
        <w:t>report</w:t>
      </w:r>
      <w:r w:rsidR="0043306F" w:rsidRPr="0043306F">
        <w:t>.</w:t>
      </w:r>
      <w:r w:rsidR="00F24568" w:rsidRPr="0043306F">
        <w:t xml:space="preserve"> </w:t>
      </w:r>
      <w:r w:rsidR="0043306F" w:rsidRPr="0043306F">
        <w:t xml:space="preserve">This </w:t>
      </w:r>
      <w:r w:rsidR="00FB18B6">
        <w:t xml:space="preserve">undertaking </w:t>
      </w:r>
      <w:r w:rsidR="0043306F" w:rsidRPr="0043306F">
        <w:t>can only be given on application by an integrity agency to the Attorney</w:t>
      </w:r>
      <w:r w:rsidR="00415230">
        <w:t xml:space="preserve"> G</w:t>
      </w:r>
      <w:r w:rsidR="0043306F" w:rsidRPr="0043306F">
        <w:t>eneral.</w:t>
      </w:r>
      <w:r w:rsidR="0043306F">
        <w:rPr>
          <w:b/>
          <w:bCs/>
        </w:rPr>
        <w:t xml:space="preserve"> </w:t>
      </w:r>
    </w:p>
    <w:tbl>
      <w:tblPr>
        <w:tblStyle w:val="TableGrid"/>
        <w:tblW w:w="0" w:type="auto"/>
        <w:tblInd w:w="137"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761"/>
      </w:tblGrid>
      <w:tr w:rsidR="002C4238" w14:paraId="2069417E" w14:textId="77777777" w:rsidTr="00BF7C8F">
        <w:tc>
          <w:tcPr>
            <w:tcW w:w="8923" w:type="dxa"/>
            <w:shd w:val="clear" w:color="auto" w:fill="CEDDD4"/>
          </w:tcPr>
          <w:p w14:paraId="78DBB986" w14:textId="6EA7BA72" w:rsidR="002C4238" w:rsidRPr="00833509" w:rsidRDefault="000A7D1A" w:rsidP="00BF7C8F">
            <w:pPr>
              <w:pStyle w:val="Notestyle"/>
            </w:pPr>
            <w:r w:rsidRPr="001036E3">
              <w:rPr>
                <w:b/>
                <w:iCs w:val="0"/>
              </w:rPr>
              <w:t>Guidance</w:t>
            </w:r>
            <w:r w:rsidR="002C4238" w:rsidRPr="001036E3">
              <w:rPr>
                <w:iCs w:val="0"/>
              </w:rPr>
              <w:t>:</w:t>
            </w:r>
            <w:r w:rsidR="002C4238" w:rsidRPr="00652C35">
              <w:rPr>
                <w:b/>
              </w:rPr>
              <w:t xml:space="preserve"> </w:t>
            </w:r>
            <w:r w:rsidR="002C4238" w:rsidRPr="00833509">
              <w:t>Under</w:t>
            </w:r>
            <w:r w:rsidR="00337EF3">
              <w:t xml:space="preserve"> section </w:t>
            </w:r>
            <w:r w:rsidR="002C4238" w:rsidRPr="00833509">
              <w:t>43(3)(a) of the PID Act, agencies must include information about the protections available to makers of voluntary PIDs</w:t>
            </w:r>
            <w:r w:rsidR="002C4238">
              <w:t xml:space="preserve">. </w:t>
            </w:r>
          </w:p>
        </w:tc>
      </w:tr>
    </w:tbl>
    <w:p w14:paraId="4FFE48D8" w14:textId="29D7226C" w:rsidR="00196BF5" w:rsidRDefault="00196BF5" w:rsidP="00F52DF5">
      <w:pPr>
        <w:rPr>
          <w:rFonts w:ascii="Arial" w:hAnsi="Arial" w:cs="Arial"/>
          <w:b/>
          <w:bCs/>
        </w:rPr>
      </w:pPr>
    </w:p>
    <w:p w14:paraId="61BEA969" w14:textId="2FB69E9E" w:rsidR="002447D3" w:rsidRPr="0021502A" w:rsidRDefault="00897BA8" w:rsidP="00E3369E">
      <w:pPr>
        <w:pStyle w:val="Heading3"/>
        <w:numPr>
          <w:ilvl w:val="0"/>
          <w:numId w:val="17"/>
        </w:numPr>
        <w:ind w:left="567" w:hanging="567"/>
      </w:pPr>
      <w:bookmarkStart w:id="134" w:name="_Toc140251728"/>
      <w:r w:rsidRPr="008D417E">
        <w:t>P</w:t>
      </w:r>
      <w:r w:rsidR="002447D3" w:rsidRPr="008D417E">
        <w:t xml:space="preserve">rotections for </w:t>
      </w:r>
      <w:r w:rsidR="005649D7" w:rsidRPr="008D417E">
        <w:t xml:space="preserve">people who make </w:t>
      </w:r>
      <w:r w:rsidR="0000761B" w:rsidRPr="008D417E">
        <w:t>mandatory and witness PIDs</w:t>
      </w:r>
      <w:bookmarkEnd w:id="134"/>
      <w:r w:rsidRPr="008D417E">
        <w:t xml:space="preserve"> </w:t>
      </w:r>
    </w:p>
    <w:p w14:paraId="41640F11" w14:textId="20CBE370" w:rsidR="00987AEE" w:rsidRPr="00897BA8" w:rsidRDefault="008B7FD5" w:rsidP="00BF7C8F">
      <w:pPr>
        <w:pStyle w:val="BodyText"/>
      </w:pPr>
      <w:r>
        <w:t xml:space="preserve">Apart from </w:t>
      </w:r>
      <w:r w:rsidR="00A973C9">
        <w:t>PIDs that are made voluntarily by public officials, t</w:t>
      </w:r>
      <w:r w:rsidR="002700A4" w:rsidRPr="00897BA8">
        <w:t xml:space="preserve">here are other types of </w:t>
      </w:r>
      <w:r w:rsidR="000B41CD">
        <w:t>reports</w:t>
      </w:r>
      <w:r w:rsidR="000B41CD" w:rsidRPr="00897BA8">
        <w:t xml:space="preserve"> </w:t>
      </w:r>
      <w:r w:rsidR="002700A4" w:rsidRPr="00897BA8">
        <w:t xml:space="preserve">that </w:t>
      </w:r>
      <w:r w:rsidR="00A973C9">
        <w:t xml:space="preserve">are recognised as PIDs </w:t>
      </w:r>
      <w:r w:rsidR="002700A4" w:rsidRPr="00897BA8">
        <w:t>under the PID Act:</w:t>
      </w:r>
    </w:p>
    <w:p w14:paraId="46A0FAF3" w14:textId="3162DE60" w:rsidR="00696A23" w:rsidRPr="00833509" w:rsidRDefault="002700A4" w:rsidP="00BF7C8F">
      <w:pPr>
        <w:pStyle w:val="ListParagraph"/>
        <w:rPr>
          <w:b/>
          <w:bCs/>
        </w:rPr>
      </w:pPr>
      <w:r w:rsidRPr="0093701F">
        <w:rPr>
          <w:i/>
          <w:iCs/>
        </w:rPr>
        <w:t>A mandat</w:t>
      </w:r>
      <w:r w:rsidR="005A6E24" w:rsidRPr="0093701F">
        <w:rPr>
          <w:i/>
          <w:iCs/>
        </w:rPr>
        <w:t>ory PID</w:t>
      </w:r>
      <w:r w:rsidR="009813D4" w:rsidRPr="0093701F">
        <w:t>:</w:t>
      </w:r>
      <w:r w:rsidR="009813D4" w:rsidRPr="009813D4">
        <w:rPr>
          <w:b/>
          <w:bCs/>
        </w:rPr>
        <w:t xml:space="preserve"> </w:t>
      </w:r>
      <w:r w:rsidR="00B63D4F" w:rsidRPr="00B63D4F">
        <w:t>This is a PID where the public official has made the report about serious wrongdoing because they have a legal obligation to make that report, or because making that report is an ordinary aspect of their role or function in an agency</w:t>
      </w:r>
      <w:r w:rsidR="003C2725">
        <w:t>.</w:t>
      </w:r>
    </w:p>
    <w:p w14:paraId="407134C1" w14:textId="2917B2F2" w:rsidR="005C6E41" w:rsidRPr="00BF7C8F" w:rsidRDefault="00A6474B" w:rsidP="00BF7C8F">
      <w:pPr>
        <w:pStyle w:val="ListParagraph"/>
        <w:rPr>
          <w:b/>
          <w:bCs/>
        </w:rPr>
      </w:pPr>
      <w:r w:rsidRPr="0093701F">
        <w:rPr>
          <w:i/>
          <w:iCs/>
        </w:rPr>
        <w:t>A witness PID</w:t>
      </w:r>
      <w:r w:rsidRPr="0093701F">
        <w:t>:</w:t>
      </w:r>
      <w:r w:rsidRPr="00A6474B">
        <w:rPr>
          <w:b/>
          <w:bCs/>
        </w:rPr>
        <w:t xml:space="preserve"> </w:t>
      </w:r>
      <w:r w:rsidRPr="00833509">
        <w:t xml:space="preserve">This is a PID where a person discloses information </w:t>
      </w:r>
      <w:r w:rsidR="005C6E41">
        <w:t>during</w:t>
      </w:r>
      <w:r w:rsidRPr="00833509">
        <w:t xml:space="preserve"> an investigation of serious wrongdoing following a request or requirement of the investigator.</w:t>
      </w:r>
    </w:p>
    <w:p w14:paraId="629679A4" w14:textId="77777777" w:rsidR="00BF7C8F" w:rsidRDefault="00BF7C8F" w:rsidP="00BF7C8F">
      <w:pPr>
        <w:pStyle w:val="BodyText"/>
      </w:pPr>
    </w:p>
    <w:p w14:paraId="4FECAB8C" w14:textId="77777777" w:rsidR="00BF7C8F" w:rsidRDefault="00BF7C8F" w:rsidP="00BF7C8F">
      <w:pPr>
        <w:pStyle w:val="BodyText"/>
      </w:pPr>
    </w:p>
    <w:p w14:paraId="0B9C0FF8" w14:textId="77777777" w:rsidR="00BF7C8F" w:rsidRDefault="00BF7C8F" w:rsidP="00BF7C8F">
      <w:pPr>
        <w:pStyle w:val="BodyText"/>
      </w:pPr>
    </w:p>
    <w:p w14:paraId="6BB97F67" w14:textId="77777777" w:rsidR="00BF7C8F" w:rsidRDefault="00BF7C8F" w:rsidP="00BF7C8F">
      <w:pPr>
        <w:pStyle w:val="BodyText"/>
      </w:pPr>
    </w:p>
    <w:p w14:paraId="7853299A" w14:textId="77777777" w:rsidR="0005790B" w:rsidRDefault="0005790B" w:rsidP="00BF7C8F">
      <w:pPr>
        <w:pStyle w:val="BodyText"/>
      </w:pPr>
    </w:p>
    <w:p w14:paraId="27F333DE" w14:textId="0E593379" w:rsidR="00076A6F" w:rsidRPr="00BF7C8F" w:rsidRDefault="00696A23" w:rsidP="00BF7C8F">
      <w:pPr>
        <w:pStyle w:val="BodyText"/>
        <w:rPr>
          <w:b/>
          <w:bCs/>
        </w:rPr>
      </w:pPr>
      <w:r w:rsidRPr="00833509">
        <w:lastRenderedPageBreak/>
        <w:t>Protections for makers of mandatory</w:t>
      </w:r>
      <w:r w:rsidR="003B3616" w:rsidRPr="00833509">
        <w:t xml:space="preserve"> and witness</w:t>
      </w:r>
      <w:r w:rsidRPr="00833509">
        <w:t xml:space="preserve"> PIDs</w:t>
      </w:r>
      <w:r w:rsidR="003B3616" w:rsidRPr="00833509">
        <w:t xml:space="preserve"> are detai</w:t>
      </w:r>
      <w:r w:rsidR="00A6474B" w:rsidRPr="00833509">
        <w:t xml:space="preserve">led in the </w:t>
      </w:r>
      <w:r w:rsidR="003F5FAB">
        <w:t xml:space="preserve">table </w:t>
      </w:r>
      <w:r w:rsidR="00A6474B" w:rsidRPr="00833509">
        <w:t>below.</w:t>
      </w:r>
    </w:p>
    <w:tbl>
      <w:tblPr>
        <w:tblStyle w:val="TableGrid"/>
        <w:tblW w:w="8926" w:type="dxa"/>
        <w:tblLook w:val="04A0" w:firstRow="1" w:lastRow="0" w:firstColumn="1" w:lastColumn="0" w:noHBand="0" w:noVBand="1"/>
      </w:tblPr>
      <w:tblGrid>
        <w:gridCol w:w="5807"/>
        <w:gridCol w:w="1701"/>
        <w:gridCol w:w="1418"/>
      </w:tblGrid>
      <w:tr w:rsidR="00BF7C8F" w:rsidRPr="00525763" w14:paraId="3122F90D" w14:textId="77777777" w:rsidTr="00BF7C8F">
        <w:tc>
          <w:tcPr>
            <w:tcW w:w="5807" w:type="dxa"/>
            <w:tcBorders>
              <w:top w:val="single" w:sz="4" w:space="0" w:color="0A4047"/>
              <w:left w:val="single" w:sz="4" w:space="0" w:color="0A4047"/>
              <w:bottom w:val="single" w:sz="4" w:space="0" w:color="0A4047"/>
              <w:right w:val="single" w:sz="4" w:space="0" w:color="FFFFFF" w:themeColor="background1"/>
            </w:tcBorders>
            <w:shd w:val="clear" w:color="auto" w:fill="0A4047"/>
          </w:tcPr>
          <w:p w14:paraId="31B141D1" w14:textId="77777777" w:rsidR="00525763" w:rsidRPr="00525763" w:rsidRDefault="00525763" w:rsidP="00FC5D31">
            <w:pPr>
              <w:pStyle w:val="Tableheadingtext"/>
            </w:pPr>
            <w:r w:rsidRPr="00525763">
              <w:t>Protection</w:t>
            </w:r>
          </w:p>
        </w:tc>
        <w:tc>
          <w:tcPr>
            <w:tcW w:w="1701" w:type="dxa"/>
            <w:tcBorders>
              <w:top w:val="single" w:sz="4" w:space="0" w:color="0A4047"/>
              <w:left w:val="single" w:sz="4" w:space="0" w:color="FFFFFF" w:themeColor="background1"/>
              <w:bottom w:val="single" w:sz="4" w:space="0" w:color="0A4047"/>
              <w:right w:val="single" w:sz="4" w:space="0" w:color="FFFFFF" w:themeColor="background1"/>
            </w:tcBorders>
            <w:shd w:val="clear" w:color="auto" w:fill="0A4047"/>
          </w:tcPr>
          <w:p w14:paraId="654E6093" w14:textId="77777777" w:rsidR="00525763" w:rsidRPr="00525763" w:rsidRDefault="00525763" w:rsidP="00FC5D31">
            <w:pPr>
              <w:pStyle w:val="Tableheadingtext"/>
            </w:pPr>
            <w:r w:rsidRPr="00525763">
              <w:t>Mandatory PID</w:t>
            </w:r>
          </w:p>
        </w:tc>
        <w:tc>
          <w:tcPr>
            <w:tcW w:w="1418" w:type="dxa"/>
            <w:tcBorders>
              <w:top w:val="single" w:sz="4" w:space="0" w:color="0A4047"/>
              <w:left w:val="single" w:sz="4" w:space="0" w:color="FFFFFF" w:themeColor="background1"/>
              <w:bottom w:val="single" w:sz="4" w:space="0" w:color="0A4047"/>
              <w:right w:val="single" w:sz="4" w:space="0" w:color="0A4047"/>
            </w:tcBorders>
            <w:shd w:val="clear" w:color="auto" w:fill="0A4047"/>
          </w:tcPr>
          <w:p w14:paraId="0ADBE669" w14:textId="77777777" w:rsidR="00525763" w:rsidRPr="00525763" w:rsidRDefault="00525763" w:rsidP="00FC5D31">
            <w:pPr>
              <w:pStyle w:val="Tableheadingtext"/>
            </w:pPr>
            <w:r w:rsidRPr="00525763">
              <w:t>Witness PID</w:t>
            </w:r>
          </w:p>
        </w:tc>
      </w:tr>
      <w:tr w:rsidR="00525763" w:rsidRPr="00525763" w14:paraId="09F8335B" w14:textId="77777777" w:rsidTr="00BF7C8F">
        <w:tc>
          <w:tcPr>
            <w:tcW w:w="5807" w:type="dxa"/>
            <w:tcBorders>
              <w:top w:val="single" w:sz="4" w:space="0" w:color="0A4047"/>
            </w:tcBorders>
          </w:tcPr>
          <w:p w14:paraId="4D65D662" w14:textId="0F768C08" w:rsidR="00525763" w:rsidRPr="00833509" w:rsidRDefault="00525763" w:rsidP="00FC5D31">
            <w:pPr>
              <w:pStyle w:val="tablelefttext"/>
              <w:rPr>
                <w:bCs/>
                <w:lang w:val="en-US"/>
              </w:rPr>
            </w:pPr>
            <w:r w:rsidRPr="0006695E">
              <w:rPr>
                <w:bCs/>
              </w:rPr>
              <w:t>Detrimental action</w:t>
            </w:r>
            <w:r w:rsidRPr="00525763">
              <w:t xml:space="preserve"> </w:t>
            </w:r>
            <w:r w:rsidR="00337EF3">
              <w:t>—</w:t>
            </w:r>
            <w:r w:rsidRPr="00525763">
              <w:t xml:space="preserve"> It is an offence to take detrimental action </w:t>
            </w:r>
            <w:r w:rsidRPr="00525763">
              <w:rPr>
                <w:lang w:val="en-US"/>
              </w:rPr>
              <w:t>against a person based on the suspicion, belief or awareness that a person has made, may have made or may make a PID.</w:t>
            </w:r>
          </w:p>
        </w:tc>
        <w:tc>
          <w:tcPr>
            <w:tcW w:w="1701" w:type="dxa"/>
            <w:tcBorders>
              <w:top w:val="single" w:sz="4" w:space="0" w:color="0A4047"/>
            </w:tcBorders>
          </w:tcPr>
          <w:p w14:paraId="28FD0500" w14:textId="45D293FB"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c>
          <w:tcPr>
            <w:tcW w:w="1418" w:type="dxa"/>
            <w:tcBorders>
              <w:top w:val="single" w:sz="4" w:space="0" w:color="0A4047"/>
            </w:tcBorders>
          </w:tcPr>
          <w:p w14:paraId="0DB593EA" w14:textId="3A83E61E" w:rsidR="00525763" w:rsidRPr="00FC5D31" w:rsidRDefault="00833D0C" w:rsidP="00FC5D31">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r>
      <w:tr w:rsidR="00525763" w:rsidRPr="00525763" w14:paraId="199C2156" w14:textId="77777777" w:rsidTr="00BF7C8F">
        <w:tc>
          <w:tcPr>
            <w:tcW w:w="5807" w:type="dxa"/>
          </w:tcPr>
          <w:p w14:paraId="7A2EABC0" w14:textId="7A43F77D" w:rsidR="00525763" w:rsidRPr="00525763" w:rsidRDefault="00525763" w:rsidP="00FC5D31">
            <w:pPr>
              <w:pStyle w:val="tablelefttext"/>
              <w:rPr>
                <w:bCs/>
              </w:rPr>
            </w:pPr>
            <w:r w:rsidRPr="0006695E">
              <w:rPr>
                <w:bCs/>
              </w:rPr>
              <w:t>Right to compensation</w:t>
            </w:r>
            <w:r w:rsidRPr="0093701F">
              <w:rPr>
                <w:i/>
                <w:iCs/>
              </w:rPr>
              <w:t xml:space="preserve"> </w:t>
            </w:r>
            <w:r w:rsidR="006F36DF">
              <w:rPr>
                <w:i/>
                <w:iCs/>
              </w:rPr>
              <w:t>—</w:t>
            </w:r>
            <w:r w:rsidRPr="00525763">
              <w:rPr>
                <w:bCs/>
              </w:rPr>
              <w:t xml:space="preserve"> </w:t>
            </w:r>
            <w:r w:rsidRPr="00525763">
              <w:t xml:space="preserve">A person can initiate proceedings and seek compensation for injury, damage or loss suffered </w:t>
            </w:r>
            <w:r w:rsidR="00A15C03">
              <w:br/>
            </w:r>
            <w:r w:rsidRPr="00525763">
              <w:t>as a result of detrimental action being taken against them.</w:t>
            </w:r>
          </w:p>
        </w:tc>
        <w:tc>
          <w:tcPr>
            <w:tcW w:w="1701" w:type="dxa"/>
          </w:tcPr>
          <w:p w14:paraId="22E708C1" w14:textId="131B8AE8"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c>
          <w:tcPr>
            <w:tcW w:w="1418" w:type="dxa"/>
          </w:tcPr>
          <w:p w14:paraId="144797ED" w14:textId="6031CF18"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r>
      <w:tr w:rsidR="00525763" w:rsidRPr="00525763" w14:paraId="7C7F327D" w14:textId="77777777" w:rsidTr="00BF7C8F">
        <w:tc>
          <w:tcPr>
            <w:tcW w:w="5807" w:type="dxa"/>
          </w:tcPr>
          <w:p w14:paraId="41F225C1" w14:textId="587A9371" w:rsidR="00076A6F" w:rsidRPr="00525763" w:rsidRDefault="00525763" w:rsidP="00FC5D31">
            <w:pPr>
              <w:pStyle w:val="tablelefttext"/>
              <w:rPr>
                <w:bCs/>
              </w:rPr>
            </w:pPr>
            <w:r w:rsidRPr="0006695E">
              <w:rPr>
                <w:bCs/>
              </w:rPr>
              <w:t>Ability to seek injunction</w:t>
            </w:r>
            <w:r w:rsidRPr="00525763">
              <w:rPr>
                <w:bCs/>
              </w:rPr>
              <w:t xml:space="preserve"> </w:t>
            </w:r>
            <w:r w:rsidR="006F36DF" w:rsidRPr="0093701F">
              <w:t>—</w:t>
            </w:r>
            <w:r w:rsidRPr="00525763">
              <w:t xml:space="preserve"> An injunction can be </w:t>
            </w:r>
            <w:r w:rsidR="006F36DF">
              <w:t>sought</w:t>
            </w:r>
            <w:r w:rsidRPr="00525763">
              <w:t xml:space="preserve"> to prevent the commission or possible commission of a detrimental action offence against a person</w:t>
            </w:r>
            <w:r w:rsidR="00076A6F">
              <w:t xml:space="preserve">. </w:t>
            </w:r>
            <w:r w:rsidR="00646D0A">
              <w:t>F</w:t>
            </w:r>
            <w:r w:rsidR="00646D0A" w:rsidRPr="00646D0A">
              <w:t>or example, an order to prevent dismissal or to require reinstatement</w:t>
            </w:r>
            <w:r w:rsidR="00646D0A">
              <w:t>.</w:t>
            </w:r>
          </w:p>
        </w:tc>
        <w:tc>
          <w:tcPr>
            <w:tcW w:w="1701" w:type="dxa"/>
          </w:tcPr>
          <w:p w14:paraId="51DE5967" w14:textId="548DBCAD"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c>
          <w:tcPr>
            <w:tcW w:w="1418" w:type="dxa"/>
          </w:tcPr>
          <w:p w14:paraId="5A1897AA" w14:textId="331D37E6"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r>
      <w:tr w:rsidR="00525763" w:rsidRPr="00525763" w14:paraId="3EA28FE7" w14:textId="77777777" w:rsidTr="00A15C03">
        <w:trPr>
          <w:trHeight w:val="1966"/>
        </w:trPr>
        <w:tc>
          <w:tcPr>
            <w:tcW w:w="5807" w:type="dxa"/>
          </w:tcPr>
          <w:p w14:paraId="2C915872" w14:textId="71773CB3" w:rsidR="00525763" w:rsidRPr="00525763" w:rsidRDefault="00525763" w:rsidP="00FC5D31">
            <w:pPr>
              <w:pStyle w:val="tablelefttext"/>
            </w:pPr>
            <w:r w:rsidRPr="0006695E">
              <w:rPr>
                <w:bCs/>
              </w:rPr>
              <w:t>Immunity from civil and criminal liability</w:t>
            </w:r>
            <w:r w:rsidRPr="00525763">
              <w:t xml:space="preserve"> </w:t>
            </w:r>
            <w:r w:rsidR="00337EF3">
              <w:t>—</w:t>
            </w:r>
            <w:r w:rsidRPr="00525763">
              <w:t xml:space="preserve"> a person will not incur civil or criminal liability </w:t>
            </w:r>
            <w:r w:rsidR="00B777D8" w:rsidRPr="00B777D8">
              <w:t>if the</w:t>
            </w:r>
            <w:r w:rsidR="00B777D8">
              <w:t xml:space="preserve"> person</w:t>
            </w:r>
            <w:r w:rsidR="00B777D8" w:rsidRPr="00B777D8">
              <w:t xml:space="preserve"> breaches a duty of confidentiality while making </w:t>
            </w:r>
            <w:r w:rsidR="00FD10A6">
              <w:t>a</w:t>
            </w:r>
            <w:r w:rsidR="00B777D8">
              <w:t xml:space="preserve"> disclosure.</w:t>
            </w:r>
            <w:r w:rsidRPr="00525763">
              <w:t xml:space="preserve"> This means that legal action cannot be taken against a person for:</w:t>
            </w:r>
          </w:p>
          <w:p w14:paraId="5EFAD006" w14:textId="2C43133F" w:rsidR="00525763" w:rsidRPr="00525763" w:rsidRDefault="00525763" w:rsidP="00E3369E">
            <w:pPr>
              <w:pStyle w:val="tablelefttext"/>
              <w:numPr>
                <w:ilvl w:val="0"/>
                <w:numId w:val="18"/>
              </w:numPr>
              <w:spacing w:before="60" w:after="60"/>
              <w:ind w:left="454" w:hanging="284"/>
            </w:pPr>
            <w:r w:rsidRPr="00525763">
              <w:t>breaching a duty of secrecy or confidentiality</w:t>
            </w:r>
            <w:r w:rsidR="006F36DF">
              <w:t>,</w:t>
            </w:r>
            <w:r w:rsidRPr="00525763">
              <w:t xml:space="preserve"> or</w:t>
            </w:r>
          </w:p>
          <w:p w14:paraId="6AC9E1CD" w14:textId="54058089" w:rsidR="00525763" w:rsidRPr="00833509" w:rsidRDefault="00525763" w:rsidP="00E3369E">
            <w:pPr>
              <w:pStyle w:val="tablelefttext"/>
              <w:numPr>
                <w:ilvl w:val="0"/>
                <w:numId w:val="18"/>
              </w:numPr>
              <w:spacing w:before="60"/>
              <w:ind w:left="454" w:hanging="284"/>
            </w:pPr>
            <w:r w:rsidRPr="00525763">
              <w:t>breaching another restriction on disclosure</w:t>
            </w:r>
            <w:r w:rsidRPr="00525763">
              <w:rPr>
                <w:i/>
                <w:iCs/>
              </w:rPr>
              <w:t xml:space="preserve">. </w:t>
            </w:r>
          </w:p>
        </w:tc>
        <w:tc>
          <w:tcPr>
            <w:tcW w:w="1701" w:type="dxa"/>
          </w:tcPr>
          <w:p w14:paraId="10D682EE" w14:textId="1FC85D27"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tc>
        <w:tc>
          <w:tcPr>
            <w:tcW w:w="1418" w:type="dxa"/>
          </w:tcPr>
          <w:p w14:paraId="3CFF6EFB" w14:textId="0F77C760" w:rsidR="00525763" w:rsidRPr="00833D0C" w:rsidRDefault="00833D0C" w:rsidP="00833D0C">
            <w:pPr>
              <w:pStyle w:val="BodyText"/>
              <w:jc w:val="center"/>
              <w:rPr>
                <w:rFonts w:ascii="Wingdings 2" w:hAnsi="Wingdings 2" w:cs="Wingdings 2"/>
                <w:color w:val="0A4047"/>
                <w:sz w:val="72"/>
                <w:szCs w:val="72"/>
              </w:rPr>
            </w:pPr>
            <w:r>
              <w:rPr>
                <w:rFonts w:ascii="Wingdings 2" w:hAnsi="Wingdings 2" w:cs="Wingdings 2"/>
                <w:color w:val="0A4047"/>
                <w:sz w:val="72"/>
                <w:szCs w:val="72"/>
              </w:rPr>
              <w:t>P</w:t>
            </w:r>
          </w:p>
          <w:p w14:paraId="2E5175B7" w14:textId="77777777" w:rsidR="00525763" w:rsidRPr="00525763" w:rsidRDefault="00525763" w:rsidP="00525763">
            <w:pPr>
              <w:spacing w:after="120"/>
              <w:rPr>
                <w:rFonts w:ascii="Arial" w:hAnsi="Arial" w:cs="Arial"/>
              </w:rPr>
            </w:pPr>
          </w:p>
          <w:p w14:paraId="061DC1DB" w14:textId="77777777" w:rsidR="00525763" w:rsidRPr="00525763" w:rsidRDefault="00525763" w:rsidP="00525763">
            <w:pPr>
              <w:spacing w:after="120"/>
              <w:rPr>
                <w:rFonts w:ascii="Arial" w:hAnsi="Arial" w:cs="Arial"/>
              </w:rPr>
            </w:pPr>
          </w:p>
        </w:tc>
      </w:tr>
    </w:tbl>
    <w:p w14:paraId="1E7ED54E" w14:textId="77777777" w:rsidR="00A15C03" w:rsidRDefault="00A15C03" w:rsidP="00850D2F">
      <w:pPr>
        <w:spacing w:after="120"/>
        <w:rPr>
          <w:rFonts w:ascii="Arial" w:hAnsi="Arial" w:cs="Arial"/>
        </w:rPr>
      </w:pP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2C4238" w14:paraId="55B71F08" w14:textId="77777777" w:rsidTr="0084295E">
        <w:tc>
          <w:tcPr>
            <w:tcW w:w="9060" w:type="dxa"/>
            <w:shd w:val="clear" w:color="auto" w:fill="CEDDD4"/>
          </w:tcPr>
          <w:p w14:paraId="2F547271" w14:textId="6272586A" w:rsidR="002C4238" w:rsidRPr="00833509" w:rsidRDefault="000A7D1A" w:rsidP="00BF7C8F">
            <w:pPr>
              <w:pStyle w:val="Notestyle"/>
            </w:pPr>
            <w:r w:rsidRPr="001036E3">
              <w:rPr>
                <w:b/>
                <w:iCs w:val="0"/>
              </w:rPr>
              <w:t>Guidance</w:t>
            </w:r>
            <w:r w:rsidR="002C4238" w:rsidRPr="001036E3">
              <w:rPr>
                <w:iCs w:val="0"/>
              </w:rPr>
              <w:t>:</w:t>
            </w:r>
            <w:r w:rsidR="002C4238" w:rsidRPr="00652C35">
              <w:rPr>
                <w:b/>
              </w:rPr>
              <w:t xml:space="preserve"> </w:t>
            </w:r>
            <w:r w:rsidR="002C4238" w:rsidRPr="00833509">
              <w:t>Under</w:t>
            </w:r>
            <w:r w:rsidR="00337EF3">
              <w:t xml:space="preserve"> section </w:t>
            </w:r>
            <w:r w:rsidR="002C4238" w:rsidRPr="00833509">
              <w:t>43(3)(b) of the PID Act, agencies must include information about the protections available to makers of witness and mandatory PIDs in an agency’s PID policy.</w:t>
            </w:r>
            <w:r w:rsidR="002C4238">
              <w:t xml:space="preserve"> </w:t>
            </w:r>
          </w:p>
        </w:tc>
      </w:tr>
    </w:tbl>
    <w:p w14:paraId="11BF369D" w14:textId="7F449EE9" w:rsidR="00850D2F" w:rsidRDefault="00850D2F" w:rsidP="00E3369E">
      <w:pPr>
        <w:pStyle w:val="Heading2"/>
        <w:numPr>
          <w:ilvl w:val="0"/>
          <w:numId w:val="16"/>
        </w:numPr>
        <w:ind w:left="567" w:hanging="567"/>
      </w:pPr>
      <w:bookmarkStart w:id="135" w:name="_Toc140251729"/>
      <w:r w:rsidRPr="00833509">
        <w:t>Reporting detrimental action</w:t>
      </w:r>
      <w:bookmarkEnd w:id="135"/>
      <w:r w:rsidRPr="00833509">
        <w:t xml:space="preserve"> </w:t>
      </w:r>
    </w:p>
    <w:p w14:paraId="1C46F792" w14:textId="7FCE28D7" w:rsidR="002C4238" w:rsidRPr="007653F6" w:rsidRDefault="00E221D0" w:rsidP="007653F6">
      <w:pPr>
        <w:pStyle w:val="BodyText"/>
      </w:pPr>
      <w:r w:rsidRPr="00833509">
        <w:t xml:space="preserve">If </w:t>
      </w:r>
      <w:r w:rsidR="00376618" w:rsidRPr="00833509">
        <w:t xml:space="preserve">you experience adverse treatment or detrimental action, such as bullying or </w:t>
      </w:r>
      <w:r w:rsidR="00376618" w:rsidRPr="000A7D1A">
        <w:t>harassment</w:t>
      </w:r>
      <w:r w:rsidR="006F36DF">
        <w:t>,</w:t>
      </w:r>
      <w:r w:rsidR="00376618" w:rsidRPr="000A7D1A">
        <w:t xml:space="preserve"> you</w:t>
      </w:r>
      <w:r w:rsidR="00376618" w:rsidRPr="00833509">
        <w:t xml:space="preserve"> should report this immediately.</w:t>
      </w:r>
      <w:r w:rsidR="0000727B">
        <w:t xml:space="preserve"> You </w:t>
      </w:r>
      <w:r w:rsidR="00ED2908">
        <w:t>can</w:t>
      </w:r>
      <w:r w:rsidR="0000727B">
        <w:t xml:space="preserve"> report </w:t>
      </w:r>
      <w:r w:rsidR="005640F0">
        <w:t xml:space="preserve">any experience of adverse treatment or detrimental action directly to </w:t>
      </w:r>
      <w:r w:rsidR="00CD3964">
        <w:t>[</w:t>
      </w:r>
      <w:r w:rsidR="005640F0">
        <w:t>agency/us], or to an</w:t>
      </w:r>
      <w:r w:rsidR="00BD7E0D">
        <w:t xml:space="preserve"> integrity agency.</w:t>
      </w:r>
      <w:r w:rsidR="00376618" w:rsidRPr="00833509">
        <w:t xml:space="preserve"> </w:t>
      </w:r>
      <w:r w:rsidR="004D372B">
        <w:t>A l</w:t>
      </w:r>
      <w:r w:rsidR="00A20280">
        <w:t>i</w:t>
      </w:r>
      <w:r w:rsidR="004D372B">
        <w:t>st o</w:t>
      </w:r>
      <w:r w:rsidR="00A20280">
        <w:t xml:space="preserve">f </w:t>
      </w:r>
      <w:r w:rsidR="004D372B">
        <w:t xml:space="preserve">integrity agencies is located at </w:t>
      </w:r>
      <w:r w:rsidR="006F36DF">
        <w:t>A</w:t>
      </w:r>
      <w:r w:rsidR="004D372B">
        <w:t>nnexure B of this policy.</w:t>
      </w:r>
    </w:p>
    <w:tbl>
      <w:tblPr>
        <w:tblStyle w:val="TableGrid"/>
        <w:tblW w:w="0" w:type="auto"/>
        <w:tblBorders>
          <w:top w:val="single" w:sz="4" w:space="0" w:color="0A4047"/>
          <w:left w:val="single" w:sz="4" w:space="0" w:color="0A4047"/>
          <w:bottom w:val="single" w:sz="4" w:space="0" w:color="0A4047"/>
          <w:right w:val="single" w:sz="4" w:space="0" w:color="0A4047"/>
        </w:tblBorders>
        <w:shd w:val="clear" w:color="auto" w:fill="CEDDD4"/>
        <w:tblLook w:val="04A0" w:firstRow="1" w:lastRow="0" w:firstColumn="1" w:lastColumn="0" w:noHBand="0" w:noVBand="1"/>
      </w:tblPr>
      <w:tblGrid>
        <w:gridCol w:w="8898"/>
      </w:tblGrid>
      <w:tr w:rsidR="002C4238" w14:paraId="7AE4D2B6" w14:textId="77777777" w:rsidTr="007E6F5D">
        <w:tc>
          <w:tcPr>
            <w:tcW w:w="9060" w:type="dxa"/>
            <w:shd w:val="clear" w:color="auto" w:fill="CEDDD4"/>
          </w:tcPr>
          <w:p w14:paraId="21A2BACB" w14:textId="56ADD48A" w:rsidR="002C4238" w:rsidRPr="007E6F5D" w:rsidRDefault="000A7D1A" w:rsidP="007E6F5D">
            <w:pPr>
              <w:pStyle w:val="Notestyle"/>
            </w:pPr>
            <w:r w:rsidRPr="001036E3">
              <w:rPr>
                <w:b/>
                <w:iCs w:val="0"/>
              </w:rPr>
              <w:t>Guidance</w:t>
            </w:r>
            <w:r w:rsidR="002C4238" w:rsidRPr="001036E3">
              <w:rPr>
                <w:iCs w:val="0"/>
              </w:rPr>
              <w:t>:</w:t>
            </w:r>
            <w:r w:rsidR="002C4238" w:rsidRPr="00833509">
              <w:rPr>
                <w:i/>
              </w:rPr>
              <w:t xml:space="preserve"> </w:t>
            </w:r>
            <w:r w:rsidR="002C4238" w:rsidRPr="00833509">
              <w:t xml:space="preserve">Agencies should explain how people who experience detrimental action can alert the agency. This may be by contacting a disclosure officer or </w:t>
            </w:r>
            <w:r w:rsidR="00D04470">
              <w:t xml:space="preserve">a </w:t>
            </w:r>
            <w:r w:rsidR="002C4238" w:rsidRPr="00833509">
              <w:t>particular unit within the agency. Agencies should also include ways a person can report detrimental action</w:t>
            </w:r>
            <w:r w:rsidR="001A5AEE">
              <w:t>,</w:t>
            </w:r>
            <w:r w:rsidR="002C4238" w:rsidRPr="00833509">
              <w:t xml:space="preserve"> </w:t>
            </w:r>
            <w:r w:rsidR="00DF26F2">
              <w:t>that is</w:t>
            </w:r>
            <w:r w:rsidR="002C4238" w:rsidRPr="00833509">
              <w:t>, by email and phone</w:t>
            </w:r>
            <w:r w:rsidR="001A5AEE">
              <w:t>,</w:t>
            </w:r>
            <w:r w:rsidR="002C4238" w:rsidRPr="00833509">
              <w:t xml:space="preserve"> and provide those contact details.</w:t>
            </w:r>
          </w:p>
        </w:tc>
      </w:tr>
    </w:tbl>
    <w:p w14:paraId="3420CF3C" w14:textId="19E92487" w:rsidR="00BA020E" w:rsidRDefault="00C22C6C" w:rsidP="00E3369E">
      <w:pPr>
        <w:pStyle w:val="Heading2"/>
        <w:numPr>
          <w:ilvl w:val="0"/>
          <w:numId w:val="16"/>
        </w:numPr>
        <w:ind w:left="567" w:hanging="567"/>
      </w:pPr>
      <w:bookmarkStart w:id="136" w:name="_Toc140251730"/>
      <w:r w:rsidRPr="008D417E">
        <w:t>G</w:t>
      </w:r>
      <w:r w:rsidR="00E31B8E">
        <w:t>e</w:t>
      </w:r>
      <w:r w:rsidRPr="008D417E">
        <w:t>neral support</w:t>
      </w:r>
      <w:bookmarkEnd w:id="136"/>
      <w:r w:rsidRPr="008D417E">
        <w:t xml:space="preserve"> </w:t>
      </w: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8D7BF8" w14:paraId="797E9BD1" w14:textId="77777777" w:rsidTr="007E6F5D">
        <w:tc>
          <w:tcPr>
            <w:tcW w:w="9060" w:type="dxa"/>
            <w:shd w:val="clear" w:color="auto" w:fill="CEDDD4"/>
          </w:tcPr>
          <w:p w14:paraId="29F07133" w14:textId="30296A0D" w:rsidR="008D7BF8" w:rsidRDefault="000A7D1A" w:rsidP="007E6F5D">
            <w:pPr>
              <w:pStyle w:val="Notestyle"/>
            </w:pPr>
            <w:r w:rsidRPr="001036E3">
              <w:rPr>
                <w:b/>
                <w:iCs w:val="0"/>
              </w:rPr>
              <w:t>Guidance</w:t>
            </w:r>
            <w:r w:rsidR="008D7BF8" w:rsidRPr="001036E3">
              <w:rPr>
                <w:iCs w:val="0"/>
              </w:rPr>
              <w:t>:</w:t>
            </w:r>
            <w:r w:rsidR="008D7BF8" w:rsidRPr="0049780B">
              <w:rPr>
                <w:i/>
              </w:rPr>
              <w:t xml:space="preserve"> </w:t>
            </w:r>
            <w:r w:rsidR="008D7BF8" w:rsidRPr="0049780B">
              <w:t xml:space="preserve">Agencies should list what supports will be made available to people who have made a report and how they can access these supports. </w:t>
            </w:r>
          </w:p>
          <w:p w14:paraId="08336DA0" w14:textId="77777777" w:rsidR="008D7BF8" w:rsidRDefault="008D7BF8" w:rsidP="007E6F5D">
            <w:pPr>
              <w:pStyle w:val="Notestyle"/>
            </w:pPr>
            <w:r w:rsidRPr="0049780B">
              <w:t>Agencies may refer to the NSW Ombudsman if an employee has questions about the PID Act and reporting generally</w:t>
            </w:r>
            <w:r>
              <w:t>.</w:t>
            </w:r>
          </w:p>
          <w:p w14:paraId="38013A2A" w14:textId="3E4B4859" w:rsidR="008D7BF8" w:rsidRDefault="008D7BF8" w:rsidP="007E6F5D">
            <w:pPr>
              <w:pStyle w:val="Notestyle"/>
            </w:pPr>
            <w:r>
              <w:lastRenderedPageBreak/>
              <w:t xml:space="preserve">For example, agencies should allocate to the </w:t>
            </w:r>
            <w:r w:rsidR="00951B6D">
              <w:t xml:space="preserve">maker of the </w:t>
            </w:r>
            <w:r w:rsidR="0018321C">
              <w:t>report</w:t>
            </w:r>
            <w:r>
              <w:t xml:space="preserve"> a person who will be their key contact person and who will take steps to protect their interests, for example, if they are at risk of detrimental action.</w:t>
            </w:r>
          </w:p>
          <w:p w14:paraId="620BCB2E" w14:textId="11D184B2" w:rsidR="008D7BF8" w:rsidRPr="00833509" w:rsidRDefault="008D7BF8" w:rsidP="007E6F5D">
            <w:pPr>
              <w:pStyle w:val="Notestyle"/>
            </w:pPr>
            <w:r>
              <w:t xml:space="preserve">Agencies may also link the person who has made the </w:t>
            </w:r>
            <w:r w:rsidR="0018321C">
              <w:t xml:space="preserve">report </w:t>
            </w:r>
            <w:r>
              <w:t xml:space="preserve">to wellbeing support through the Employee Assistance Program or </w:t>
            </w:r>
            <w:r w:rsidR="001A5AEE">
              <w:t>an</w:t>
            </w:r>
            <w:r>
              <w:t xml:space="preserve">other program. </w:t>
            </w:r>
          </w:p>
        </w:tc>
      </w:tr>
    </w:tbl>
    <w:p w14:paraId="24E0BB37" w14:textId="4806ED8E" w:rsidR="002447D3" w:rsidRPr="00765F48" w:rsidRDefault="00164592" w:rsidP="00E3369E">
      <w:pPr>
        <w:pStyle w:val="Heading2"/>
        <w:numPr>
          <w:ilvl w:val="0"/>
          <w:numId w:val="16"/>
        </w:numPr>
        <w:ind w:left="357" w:hanging="357"/>
      </w:pPr>
      <w:bookmarkStart w:id="137" w:name="_Toc140251731"/>
      <w:r>
        <w:lastRenderedPageBreak/>
        <w:t>R</w:t>
      </w:r>
      <w:r w:rsidR="002447D3" w:rsidRPr="00765F48">
        <w:t xml:space="preserve">oles and responsibilities </w:t>
      </w:r>
      <w:r w:rsidR="003F2F1C">
        <w:t xml:space="preserve">of </w:t>
      </w:r>
      <w:r w:rsidR="00CD3964">
        <w:t>[</w:t>
      </w:r>
      <w:r w:rsidR="003F2F1C">
        <w:t>agency name] employees</w:t>
      </w:r>
      <w:bookmarkEnd w:id="137"/>
    </w:p>
    <w:p w14:paraId="38594670" w14:textId="6176FF5A" w:rsidR="008D31D6" w:rsidRDefault="00895F41" w:rsidP="007E6F5D">
      <w:pPr>
        <w:pStyle w:val="BodyText"/>
        <w:rPr>
          <w:lang w:bidi="en-US"/>
        </w:rPr>
      </w:pPr>
      <w:r>
        <w:rPr>
          <w:lang w:bidi="en-US"/>
        </w:rPr>
        <w:t xml:space="preserve">Certain people within </w:t>
      </w:r>
      <w:r w:rsidR="00CD3964">
        <w:rPr>
          <w:lang w:bidi="en-US"/>
        </w:rPr>
        <w:t>[</w:t>
      </w:r>
      <w:r>
        <w:rPr>
          <w:lang w:bidi="en-US"/>
        </w:rPr>
        <w:t>agency name] have responsibilities under the PID Act</w:t>
      </w:r>
      <w:r w:rsidR="00B718C5">
        <w:rPr>
          <w:lang w:bidi="en-US"/>
        </w:rPr>
        <w:t xml:space="preserve">. </w:t>
      </w:r>
    </w:p>
    <w:p w14:paraId="61259308" w14:textId="0C7B7E60" w:rsidR="001A1087" w:rsidRPr="00DC6A07" w:rsidRDefault="00CD3964" w:rsidP="00DC6A07">
      <w:pPr>
        <w:pStyle w:val="Heading3"/>
      </w:pPr>
      <w:bookmarkStart w:id="138" w:name="_Toc140251732"/>
      <w:r w:rsidRPr="00DC6A07">
        <w:t>[</w:t>
      </w:r>
      <w:r w:rsidR="00415009" w:rsidRPr="00DC6A07">
        <w:t>H</w:t>
      </w:r>
      <w:r w:rsidR="00834CF1" w:rsidRPr="00DC6A07">
        <w:t>ead of agency]</w:t>
      </w:r>
      <w:bookmarkEnd w:id="138"/>
    </w:p>
    <w:p w14:paraId="067B0F68" w14:textId="0301AA77" w:rsidR="00834CF1" w:rsidRPr="00DC6A07" w:rsidRDefault="00834CF1" w:rsidP="00E3369E">
      <w:pPr>
        <w:pStyle w:val="Heading3"/>
        <w:numPr>
          <w:ilvl w:val="0"/>
          <w:numId w:val="9"/>
        </w:numPr>
        <w:ind w:left="567" w:hanging="567"/>
        <w:rPr>
          <w:rFonts w:eastAsia="Times New Roman"/>
          <w:lang w:bidi="en-US"/>
        </w:rPr>
      </w:pPr>
      <w:bookmarkStart w:id="139" w:name="_Toc140251733"/>
      <w:r w:rsidRPr="00DC6A07">
        <w:rPr>
          <w:rFonts w:eastAsia="Times New Roman"/>
          <w:lang w:bidi="en-US"/>
        </w:rPr>
        <w:t xml:space="preserve">The </w:t>
      </w:r>
      <w:r w:rsidR="00CD3964" w:rsidRPr="00DC6A07">
        <w:rPr>
          <w:rFonts w:eastAsia="Times New Roman"/>
          <w:iCs/>
          <w:lang w:bidi="en-US"/>
        </w:rPr>
        <w:t>[</w:t>
      </w:r>
      <w:r w:rsidRPr="00DC6A07">
        <w:rPr>
          <w:rFonts w:eastAsia="Times New Roman"/>
          <w:iCs/>
          <w:lang w:bidi="en-US"/>
        </w:rPr>
        <w:t>head of agency]</w:t>
      </w:r>
      <w:r w:rsidRPr="00DC6A07">
        <w:rPr>
          <w:rFonts w:eastAsia="Times New Roman"/>
          <w:i/>
          <w:lang w:bidi="en-US"/>
        </w:rPr>
        <w:t xml:space="preserve"> </w:t>
      </w:r>
      <w:r w:rsidRPr="00DC6A07">
        <w:rPr>
          <w:rFonts w:eastAsia="Times New Roman"/>
          <w:lang w:bidi="en-US"/>
        </w:rPr>
        <w:t>is responsible for:</w:t>
      </w:r>
      <w:bookmarkEnd w:id="139"/>
    </w:p>
    <w:p w14:paraId="07B832F9" w14:textId="474B5E1F" w:rsidR="004B35DF" w:rsidRDefault="00984B78" w:rsidP="007E6F5D">
      <w:pPr>
        <w:pStyle w:val="ListParagraph"/>
        <w:rPr>
          <w:lang w:bidi="en-US"/>
        </w:rPr>
      </w:pPr>
      <w:r>
        <w:rPr>
          <w:lang w:bidi="en-US"/>
        </w:rPr>
        <w:t>f</w:t>
      </w:r>
      <w:r w:rsidR="004B35DF">
        <w:rPr>
          <w:lang w:bidi="en-US"/>
        </w:rPr>
        <w:t xml:space="preserve">ostering a workplace </w:t>
      </w:r>
      <w:r>
        <w:rPr>
          <w:lang w:bidi="en-US"/>
        </w:rPr>
        <w:t>culture where reporting is encouraged</w:t>
      </w:r>
    </w:p>
    <w:p w14:paraId="3A0AA9E6" w14:textId="3166A028" w:rsidR="00834CF1" w:rsidRDefault="00834CF1" w:rsidP="007E6F5D">
      <w:pPr>
        <w:pStyle w:val="ListParagraph"/>
        <w:rPr>
          <w:lang w:bidi="en-US"/>
        </w:rPr>
      </w:pPr>
      <w:r w:rsidRPr="00834CF1">
        <w:rPr>
          <w:lang w:bidi="en-US"/>
        </w:rPr>
        <w:t>receiving disclosures from public officials</w:t>
      </w:r>
    </w:p>
    <w:p w14:paraId="3F7C286F" w14:textId="298F1381" w:rsidR="00306DD0" w:rsidRPr="00834CF1" w:rsidRDefault="00306DD0" w:rsidP="007E6F5D">
      <w:pPr>
        <w:pStyle w:val="ListParagraph"/>
        <w:rPr>
          <w:lang w:bidi="en-US"/>
        </w:rPr>
      </w:pPr>
      <w:r>
        <w:rPr>
          <w:lang w:bidi="en-US"/>
        </w:rPr>
        <w:t>ensuring there is a system in place for assessing disclosures</w:t>
      </w:r>
    </w:p>
    <w:p w14:paraId="663B80CC" w14:textId="21F0A654" w:rsidR="001A1087" w:rsidRPr="0026454C" w:rsidRDefault="00834CF1" w:rsidP="007E6F5D">
      <w:pPr>
        <w:pStyle w:val="ListParagraph"/>
        <w:rPr>
          <w:iCs/>
          <w:lang w:bidi="en-US"/>
        </w:rPr>
      </w:pPr>
      <w:r w:rsidRPr="00834CF1">
        <w:rPr>
          <w:lang w:bidi="en-US"/>
        </w:rPr>
        <w:t xml:space="preserve">ensuring the </w:t>
      </w:r>
      <w:r w:rsidR="00CD3964">
        <w:rPr>
          <w:iCs/>
          <w:lang w:bidi="en-US"/>
        </w:rPr>
        <w:t>[</w:t>
      </w:r>
      <w:r w:rsidR="0026454C" w:rsidRPr="0026454C">
        <w:rPr>
          <w:iCs/>
          <w:lang w:bidi="en-US"/>
        </w:rPr>
        <w:t>agency name]</w:t>
      </w:r>
      <w:r w:rsidRPr="00834CF1">
        <w:rPr>
          <w:iCs/>
          <w:lang w:bidi="en-US"/>
        </w:rPr>
        <w:t xml:space="preserve"> complies with this </w:t>
      </w:r>
      <w:r w:rsidR="00353B01" w:rsidRPr="0026454C">
        <w:rPr>
          <w:iCs/>
          <w:lang w:bidi="en-US"/>
        </w:rPr>
        <w:t>p</w:t>
      </w:r>
      <w:r w:rsidRPr="00834CF1">
        <w:rPr>
          <w:iCs/>
          <w:lang w:bidi="en-US"/>
        </w:rPr>
        <w:t>olicy and the PID Act</w:t>
      </w:r>
    </w:p>
    <w:p w14:paraId="4624C155" w14:textId="28299D77" w:rsidR="00834CF1" w:rsidRPr="00834CF1" w:rsidRDefault="00834CF1" w:rsidP="007E6F5D">
      <w:pPr>
        <w:pStyle w:val="ListParagraph"/>
        <w:rPr>
          <w:lang w:bidi="en-US"/>
        </w:rPr>
      </w:pPr>
      <w:r w:rsidRPr="00834CF1">
        <w:rPr>
          <w:iCs/>
          <w:lang w:bidi="en-US"/>
        </w:rPr>
        <w:t xml:space="preserve">ensuring that the </w:t>
      </w:r>
      <w:r w:rsidR="00CD3964">
        <w:rPr>
          <w:iCs/>
          <w:lang w:bidi="en-US"/>
        </w:rPr>
        <w:t>[</w:t>
      </w:r>
      <w:r w:rsidR="0026454C" w:rsidRPr="0026454C">
        <w:rPr>
          <w:iCs/>
          <w:lang w:bidi="en-US"/>
        </w:rPr>
        <w:t xml:space="preserve">agency name] </w:t>
      </w:r>
      <w:r w:rsidRPr="00834CF1">
        <w:rPr>
          <w:iCs/>
          <w:lang w:bidi="en-US"/>
        </w:rPr>
        <w:t xml:space="preserve">has </w:t>
      </w:r>
      <w:r w:rsidRPr="00834CF1">
        <w:rPr>
          <w:lang w:bidi="en-US"/>
        </w:rPr>
        <w:t>appropriate systems for:</w:t>
      </w:r>
    </w:p>
    <w:p w14:paraId="0B19BF7C" w14:textId="5F8A9381" w:rsidR="00834CF1" w:rsidRPr="00834CF1" w:rsidRDefault="00834CF1" w:rsidP="004D54C8">
      <w:pPr>
        <w:pStyle w:val="ListParagraph"/>
        <w:numPr>
          <w:ilvl w:val="1"/>
          <w:numId w:val="6"/>
        </w:numPr>
        <w:ind w:left="1276" w:hanging="283"/>
        <w:rPr>
          <w:lang w:bidi="en-US"/>
        </w:rPr>
      </w:pPr>
      <w:r w:rsidRPr="00834CF1">
        <w:rPr>
          <w:lang w:bidi="en-US"/>
        </w:rPr>
        <w:t>overseeing internal compliance with the PID Act</w:t>
      </w:r>
    </w:p>
    <w:p w14:paraId="75D3B735" w14:textId="62499B52" w:rsidR="00834CF1" w:rsidRPr="00834CF1" w:rsidRDefault="00834CF1" w:rsidP="004D54C8">
      <w:pPr>
        <w:pStyle w:val="ListParagraph"/>
        <w:numPr>
          <w:ilvl w:val="1"/>
          <w:numId w:val="6"/>
        </w:numPr>
        <w:ind w:left="1276" w:hanging="283"/>
        <w:rPr>
          <w:lang w:bidi="en-US"/>
        </w:rPr>
      </w:pPr>
      <w:r w:rsidRPr="00834CF1">
        <w:rPr>
          <w:lang w:bidi="en-US"/>
        </w:rPr>
        <w:t>supporting public officials who make voluntary PIDs, including by minimising the risk of detrimental action</w:t>
      </w:r>
    </w:p>
    <w:p w14:paraId="5628712D" w14:textId="3CD8825D" w:rsidR="00834CF1" w:rsidRPr="00834CF1" w:rsidRDefault="00834CF1" w:rsidP="004D54C8">
      <w:pPr>
        <w:pStyle w:val="ListParagraph"/>
        <w:numPr>
          <w:ilvl w:val="1"/>
          <w:numId w:val="6"/>
        </w:numPr>
        <w:ind w:left="1276" w:hanging="283"/>
        <w:rPr>
          <w:lang w:bidi="en-US"/>
        </w:rPr>
      </w:pPr>
      <w:r w:rsidRPr="00834CF1">
        <w:rPr>
          <w:lang w:bidi="en-US"/>
        </w:rPr>
        <w:t>implementing corrective action if serious wrongdoing is found to have occurred</w:t>
      </w:r>
    </w:p>
    <w:p w14:paraId="688AAE2D" w14:textId="590E0100" w:rsidR="00834CF1" w:rsidRPr="00834CF1" w:rsidRDefault="00834CF1" w:rsidP="004D54C8">
      <w:pPr>
        <w:pStyle w:val="ListParagraph"/>
        <w:numPr>
          <w:ilvl w:val="1"/>
          <w:numId w:val="6"/>
        </w:numPr>
        <w:ind w:left="1276" w:hanging="283"/>
        <w:rPr>
          <w:lang w:bidi="en-US"/>
        </w:rPr>
      </w:pPr>
      <w:r w:rsidRPr="00834CF1">
        <w:rPr>
          <w:lang w:bidi="en-US"/>
        </w:rPr>
        <w:t>complying with reporting obligations regarding allegations or findings of detrimental action</w:t>
      </w:r>
    </w:p>
    <w:p w14:paraId="4CEF3B99" w14:textId="0B9D7049" w:rsidR="00F52DF5" w:rsidRPr="00164592" w:rsidRDefault="00834CF1" w:rsidP="004D54C8">
      <w:pPr>
        <w:pStyle w:val="ListParagraph"/>
        <w:numPr>
          <w:ilvl w:val="1"/>
          <w:numId w:val="6"/>
        </w:numPr>
        <w:ind w:left="1276" w:hanging="283"/>
        <w:rPr>
          <w:lang w:bidi="en-US"/>
        </w:rPr>
      </w:pPr>
      <w:r w:rsidRPr="00834CF1">
        <w:rPr>
          <w:lang w:bidi="en-US"/>
        </w:rPr>
        <w:t>complying with yearly reporting obligations to the</w:t>
      </w:r>
      <w:r w:rsidR="00BF3A15">
        <w:rPr>
          <w:lang w:bidi="en-US"/>
        </w:rPr>
        <w:t xml:space="preserve"> NSW</w:t>
      </w:r>
      <w:r w:rsidRPr="00834CF1">
        <w:rPr>
          <w:lang w:bidi="en-US"/>
        </w:rPr>
        <w:t xml:space="preserve"> Ombudsman.</w:t>
      </w:r>
    </w:p>
    <w:p w14:paraId="405F5046" w14:textId="0893D33D" w:rsidR="009B50F9" w:rsidRPr="00DC6A07" w:rsidRDefault="00834CF1" w:rsidP="00E3369E">
      <w:pPr>
        <w:pStyle w:val="Heading3"/>
        <w:numPr>
          <w:ilvl w:val="0"/>
          <w:numId w:val="9"/>
        </w:numPr>
        <w:ind w:left="567" w:hanging="567"/>
      </w:pPr>
      <w:bookmarkStart w:id="140" w:name="_Toc140251734"/>
      <w:r w:rsidRPr="00DC6A07">
        <w:t>Disclosure officers</w:t>
      </w:r>
      <w:bookmarkEnd w:id="140"/>
    </w:p>
    <w:p w14:paraId="7E8B5229" w14:textId="39026C07" w:rsidR="00A253D4" w:rsidRPr="00306DD0" w:rsidRDefault="00A253D4" w:rsidP="007E6F5D">
      <w:pPr>
        <w:pStyle w:val="BodyText"/>
        <w:rPr>
          <w:lang w:bidi="en-US"/>
        </w:rPr>
      </w:pPr>
      <w:r w:rsidRPr="00A253D4">
        <w:rPr>
          <w:lang w:bidi="en-US"/>
        </w:rPr>
        <w:t>Disclosure officers are responsible for:</w:t>
      </w:r>
    </w:p>
    <w:p w14:paraId="239757B0" w14:textId="42A761D0" w:rsidR="009B50F9" w:rsidRPr="009B50F9" w:rsidRDefault="009B50F9" w:rsidP="007E6F5D">
      <w:pPr>
        <w:pStyle w:val="ListParagraph"/>
        <w:rPr>
          <w:lang w:bidi="en-US"/>
        </w:rPr>
      </w:pPr>
      <w:r w:rsidRPr="009B50F9">
        <w:rPr>
          <w:lang w:bidi="en-US"/>
        </w:rPr>
        <w:t xml:space="preserve">receiving </w:t>
      </w:r>
      <w:r w:rsidR="00720A5B">
        <w:rPr>
          <w:lang w:bidi="en-US"/>
        </w:rPr>
        <w:t>reports</w:t>
      </w:r>
      <w:r w:rsidR="00720A5B" w:rsidRPr="009B50F9">
        <w:rPr>
          <w:lang w:bidi="en-US"/>
        </w:rPr>
        <w:t xml:space="preserve"> </w:t>
      </w:r>
      <w:r w:rsidRPr="009B50F9">
        <w:rPr>
          <w:lang w:bidi="en-US"/>
        </w:rPr>
        <w:t>from public officials</w:t>
      </w:r>
    </w:p>
    <w:p w14:paraId="000BAEA4" w14:textId="2A60373D" w:rsidR="009B50F9" w:rsidRPr="009B50F9" w:rsidRDefault="00547F1B" w:rsidP="007E6F5D">
      <w:pPr>
        <w:pStyle w:val="ListParagraph"/>
        <w:rPr>
          <w:lang w:bidi="en-US"/>
        </w:rPr>
      </w:pPr>
      <w:r>
        <w:rPr>
          <w:lang w:bidi="en-US"/>
        </w:rPr>
        <w:t>receiving</w:t>
      </w:r>
      <w:r w:rsidR="009B50F9" w:rsidRPr="009B50F9">
        <w:rPr>
          <w:lang w:bidi="en-US"/>
        </w:rPr>
        <w:t xml:space="preserve"> </w:t>
      </w:r>
      <w:r w:rsidR="00720A5B">
        <w:rPr>
          <w:lang w:bidi="en-US"/>
        </w:rPr>
        <w:t xml:space="preserve">reports </w:t>
      </w:r>
      <w:r w:rsidR="009B50F9" w:rsidRPr="009B50F9">
        <w:rPr>
          <w:lang w:bidi="en-US"/>
        </w:rPr>
        <w:t xml:space="preserve">when </w:t>
      </w:r>
      <w:r>
        <w:rPr>
          <w:lang w:bidi="en-US"/>
        </w:rPr>
        <w:t xml:space="preserve">they are </w:t>
      </w:r>
      <w:r w:rsidR="009B50F9" w:rsidRPr="009B50F9">
        <w:rPr>
          <w:lang w:bidi="en-US"/>
        </w:rPr>
        <w:t>passed on to them by managers</w:t>
      </w:r>
    </w:p>
    <w:p w14:paraId="5B3789CA" w14:textId="48D63022" w:rsidR="009B50F9" w:rsidRPr="009B50F9" w:rsidRDefault="009B50F9" w:rsidP="007E6F5D">
      <w:pPr>
        <w:pStyle w:val="ListParagraph"/>
        <w:rPr>
          <w:lang w:bidi="en-US"/>
        </w:rPr>
      </w:pPr>
      <w:r w:rsidRPr="009B50F9">
        <w:rPr>
          <w:lang w:bidi="en-US"/>
        </w:rPr>
        <w:t xml:space="preserve">ensuring </w:t>
      </w:r>
      <w:r w:rsidR="00720A5B">
        <w:rPr>
          <w:lang w:bidi="en-US"/>
        </w:rPr>
        <w:t>reports</w:t>
      </w:r>
      <w:r w:rsidR="00720A5B" w:rsidRPr="009B50F9">
        <w:rPr>
          <w:lang w:bidi="en-US"/>
        </w:rPr>
        <w:t xml:space="preserve"> </w:t>
      </w:r>
      <w:r w:rsidRPr="009B50F9">
        <w:rPr>
          <w:lang w:bidi="en-US"/>
        </w:rPr>
        <w:t xml:space="preserve">are dealt with appropriately, including by referring the matter to the appropriate </w:t>
      </w:r>
      <w:r w:rsidR="00547F1B" w:rsidRPr="009B50F9">
        <w:rPr>
          <w:lang w:bidi="en-US"/>
        </w:rPr>
        <w:t>complaint</w:t>
      </w:r>
      <w:r w:rsidR="00547F1B">
        <w:rPr>
          <w:lang w:bidi="en-US"/>
        </w:rPr>
        <w:t xml:space="preserve"> </w:t>
      </w:r>
      <w:r w:rsidRPr="009B50F9">
        <w:rPr>
          <w:lang w:bidi="en-US"/>
        </w:rPr>
        <w:t>unit</w:t>
      </w:r>
      <w:r w:rsidR="00547F1B">
        <w:rPr>
          <w:lang w:bidi="en-US"/>
        </w:rPr>
        <w:t xml:space="preserve"> (if relevant)</w:t>
      </w:r>
    </w:p>
    <w:p w14:paraId="39ED71EB" w14:textId="3E7582E2" w:rsidR="009B50F9" w:rsidRDefault="00A311AF" w:rsidP="007E6F5D">
      <w:pPr>
        <w:pStyle w:val="ListParagraph"/>
        <w:rPr>
          <w:lang w:bidi="en-US"/>
        </w:rPr>
      </w:pPr>
      <w:r>
        <w:rPr>
          <w:lang w:bidi="en-US"/>
        </w:rPr>
        <w:t xml:space="preserve">ensuring that any oral </w:t>
      </w:r>
      <w:r w:rsidR="00720A5B">
        <w:rPr>
          <w:lang w:bidi="en-US"/>
        </w:rPr>
        <w:t xml:space="preserve">reports </w:t>
      </w:r>
      <w:r>
        <w:rPr>
          <w:lang w:bidi="en-US"/>
        </w:rPr>
        <w:t xml:space="preserve">that have been received are recorded in writing. </w:t>
      </w:r>
    </w:p>
    <w:p w14:paraId="1AA5B06D" w14:textId="77777777" w:rsidR="00F52DF5" w:rsidRDefault="00F52DF5" w:rsidP="00833509">
      <w:pPr>
        <w:rPr>
          <w:rFonts w:ascii="Arial" w:eastAsia="Times New Roman" w:hAnsi="Arial"/>
          <w:lang w:bidi="en-US"/>
        </w:rPr>
      </w:pP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F3760E" w14:paraId="1B6FD523" w14:textId="77777777" w:rsidTr="007E6F5D">
        <w:tc>
          <w:tcPr>
            <w:tcW w:w="9060" w:type="dxa"/>
            <w:shd w:val="clear" w:color="auto" w:fill="CEDDD4"/>
          </w:tcPr>
          <w:p w14:paraId="4CDED3CA" w14:textId="6CE5E594" w:rsidR="0037612E" w:rsidRPr="00833509" w:rsidRDefault="00F3760E" w:rsidP="007E6F5D">
            <w:pPr>
              <w:pStyle w:val="Notestyle"/>
            </w:pPr>
            <w:r w:rsidRPr="001036E3">
              <w:rPr>
                <w:b/>
                <w:iCs w:val="0"/>
              </w:rPr>
              <w:t>Guidance</w:t>
            </w:r>
            <w:r w:rsidRPr="001036E3">
              <w:rPr>
                <w:iCs w:val="0"/>
              </w:rPr>
              <w:t>:</w:t>
            </w:r>
            <w:r w:rsidRPr="0049780B">
              <w:rPr>
                <w:i/>
              </w:rPr>
              <w:t xml:space="preserve"> </w:t>
            </w:r>
            <w:r w:rsidR="00A20280">
              <w:t>If an agency has designated other roles</w:t>
            </w:r>
            <w:r w:rsidR="00D50709">
              <w:t xml:space="preserve"> such as a ‘Disclosure Coordinator’ or ‘Chief </w:t>
            </w:r>
            <w:r w:rsidR="00B72133">
              <w:t>Disclosure</w:t>
            </w:r>
            <w:r w:rsidR="00D50709">
              <w:t xml:space="preserve"> Coordinator’</w:t>
            </w:r>
            <w:r w:rsidR="00D93C82">
              <w:t>,</w:t>
            </w:r>
            <w:r w:rsidR="00D50709">
              <w:t xml:space="preserve"> then the responsibilities for those persons should also be </w:t>
            </w:r>
            <w:r w:rsidR="00B72133">
              <w:t xml:space="preserve">listed in this section. </w:t>
            </w:r>
          </w:p>
        </w:tc>
      </w:tr>
    </w:tbl>
    <w:p w14:paraId="653807E1" w14:textId="77777777" w:rsidR="009B50F9" w:rsidRDefault="009B50F9" w:rsidP="00E3369E">
      <w:pPr>
        <w:pStyle w:val="Heading3"/>
        <w:numPr>
          <w:ilvl w:val="0"/>
          <w:numId w:val="9"/>
        </w:numPr>
        <w:ind w:left="567" w:hanging="567"/>
        <w:rPr>
          <w:rFonts w:eastAsia="Times New Roman"/>
          <w:lang w:bidi="en-US"/>
        </w:rPr>
      </w:pPr>
      <w:bookmarkStart w:id="141" w:name="_Toc140251735"/>
      <w:r w:rsidRPr="00A311AF">
        <w:rPr>
          <w:rFonts w:eastAsia="Times New Roman"/>
          <w:lang w:bidi="en-US"/>
        </w:rPr>
        <w:t>Managers</w:t>
      </w:r>
      <w:bookmarkEnd w:id="141"/>
    </w:p>
    <w:p w14:paraId="319335D4" w14:textId="77777777" w:rsidR="009B50F9" w:rsidRPr="009B50F9" w:rsidRDefault="009B50F9" w:rsidP="007E6F5D">
      <w:pPr>
        <w:pStyle w:val="BodyText"/>
        <w:rPr>
          <w:lang w:bidi="en-US"/>
        </w:rPr>
      </w:pPr>
      <w:r w:rsidRPr="009B50F9">
        <w:rPr>
          <w:lang w:bidi="en-US"/>
        </w:rPr>
        <w:t>The responsibilities of managers include:</w:t>
      </w:r>
    </w:p>
    <w:p w14:paraId="7784DFDA" w14:textId="759C68C0" w:rsidR="009B50F9" w:rsidRPr="009B50F9" w:rsidRDefault="009B50F9" w:rsidP="007E6F5D">
      <w:pPr>
        <w:pStyle w:val="ListParagraph"/>
        <w:rPr>
          <w:lang w:bidi="en-US"/>
        </w:rPr>
      </w:pPr>
      <w:r w:rsidRPr="009B50F9">
        <w:rPr>
          <w:lang w:bidi="en-US"/>
        </w:rPr>
        <w:t xml:space="preserve">receiving </w:t>
      </w:r>
      <w:r w:rsidR="00720A5B">
        <w:rPr>
          <w:lang w:bidi="en-US"/>
        </w:rPr>
        <w:t xml:space="preserve">reports </w:t>
      </w:r>
      <w:r w:rsidRPr="009B50F9">
        <w:rPr>
          <w:lang w:bidi="en-US"/>
        </w:rPr>
        <w:t xml:space="preserve">from </w:t>
      </w:r>
      <w:r w:rsidR="00B72133">
        <w:rPr>
          <w:lang w:bidi="en-US"/>
        </w:rPr>
        <w:t>pe</w:t>
      </w:r>
      <w:r w:rsidR="00494D4F">
        <w:rPr>
          <w:lang w:bidi="en-US"/>
        </w:rPr>
        <w:t>rsons</w:t>
      </w:r>
      <w:r w:rsidR="00B72133" w:rsidRPr="009B50F9">
        <w:rPr>
          <w:lang w:bidi="en-US"/>
        </w:rPr>
        <w:t xml:space="preserve"> </w:t>
      </w:r>
      <w:r w:rsidR="00865F70">
        <w:rPr>
          <w:lang w:bidi="en-US"/>
        </w:rPr>
        <w:t xml:space="preserve">that report to them or that they supervise </w:t>
      </w:r>
    </w:p>
    <w:p w14:paraId="6E8CA211" w14:textId="5BD0AF00" w:rsidR="00CE3AFD" w:rsidRPr="00164592" w:rsidRDefault="009B50F9" w:rsidP="006A1A09">
      <w:pPr>
        <w:pStyle w:val="ListParagraph"/>
        <w:rPr>
          <w:lang w:bidi="en-US"/>
        </w:rPr>
      </w:pPr>
      <w:r w:rsidRPr="009B50F9">
        <w:rPr>
          <w:lang w:bidi="en-US"/>
        </w:rPr>
        <w:lastRenderedPageBreak/>
        <w:t xml:space="preserve">passing on </w:t>
      </w:r>
      <w:r w:rsidR="00720A5B">
        <w:rPr>
          <w:lang w:bidi="en-US"/>
        </w:rPr>
        <w:t>reports</w:t>
      </w:r>
      <w:r w:rsidR="00720A5B" w:rsidRPr="009B50F9">
        <w:rPr>
          <w:lang w:bidi="en-US"/>
        </w:rPr>
        <w:t xml:space="preserve"> </w:t>
      </w:r>
      <w:r w:rsidRPr="009B50F9">
        <w:rPr>
          <w:lang w:bidi="en-US"/>
        </w:rPr>
        <w:t>they receive to a disclosure officer.</w:t>
      </w:r>
    </w:p>
    <w:p w14:paraId="328F616A" w14:textId="2F9EB664" w:rsidR="00F56E6B" w:rsidRPr="0049780B" w:rsidRDefault="00CE3AFD" w:rsidP="00E3369E">
      <w:pPr>
        <w:pStyle w:val="Heading3"/>
        <w:numPr>
          <w:ilvl w:val="0"/>
          <w:numId w:val="9"/>
        </w:numPr>
        <w:ind w:left="567" w:hanging="567"/>
        <w:rPr>
          <w:rFonts w:eastAsia="Times New Roman"/>
          <w:lang w:bidi="en-US"/>
        </w:rPr>
      </w:pPr>
      <w:bookmarkStart w:id="142" w:name="_Toc140251736"/>
      <w:r w:rsidRPr="0049780B">
        <w:rPr>
          <w:rFonts w:eastAsia="Times New Roman"/>
          <w:lang w:bidi="en-US"/>
        </w:rPr>
        <w:t>All employees</w:t>
      </w:r>
      <w:bookmarkEnd w:id="142"/>
    </w:p>
    <w:p w14:paraId="36B01D57" w14:textId="37DF3139" w:rsidR="00616C49" w:rsidRPr="0049780B" w:rsidRDefault="002B7371" w:rsidP="00833D0C">
      <w:pPr>
        <w:pStyle w:val="BodyText"/>
        <w:rPr>
          <w:lang w:bidi="en-US"/>
        </w:rPr>
      </w:pPr>
      <w:r w:rsidRPr="0049780B">
        <w:rPr>
          <w:lang w:bidi="en-US"/>
        </w:rPr>
        <w:t xml:space="preserve">All employees </w:t>
      </w:r>
      <w:r w:rsidR="002825C6" w:rsidRPr="0049780B">
        <w:rPr>
          <w:lang w:bidi="en-US"/>
        </w:rPr>
        <w:t>must:</w:t>
      </w:r>
    </w:p>
    <w:p w14:paraId="7D39EA43" w14:textId="08702736" w:rsidR="00CD10DF" w:rsidRPr="00F444CF" w:rsidRDefault="00107824" w:rsidP="00833D0C">
      <w:pPr>
        <w:pStyle w:val="ListParagraph"/>
        <w:rPr>
          <w:lang w:bidi="en-US"/>
        </w:rPr>
      </w:pPr>
      <w:r w:rsidRPr="00F444CF">
        <w:rPr>
          <w:lang w:bidi="en-US"/>
        </w:rPr>
        <w:t>r</w:t>
      </w:r>
      <w:r w:rsidR="002825C6" w:rsidRPr="00F444CF">
        <w:rPr>
          <w:lang w:bidi="en-US"/>
        </w:rPr>
        <w:t>eport suspect</w:t>
      </w:r>
      <w:r w:rsidR="00F444CF">
        <w:rPr>
          <w:lang w:bidi="en-US"/>
        </w:rPr>
        <w:t>ed</w:t>
      </w:r>
      <w:r w:rsidR="002825C6" w:rsidRPr="00F444CF">
        <w:rPr>
          <w:lang w:bidi="en-US"/>
        </w:rPr>
        <w:t xml:space="preserve"> serious wrongdoing or other misconduct</w:t>
      </w:r>
    </w:p>
    <w:p w14:paraId="2AC1D016" w14:textId="2CA7FD13" w:rsidR="002825C6" w:rsidRDefault="00A23053" w:rsidP="00833D0C">
      <w:pPr>
        <w:pStyle w:val="ListParagraph"/>
        <w:rPr>
          <w:rFonts w:cs="Arial"/>
          <w:lang w:bidi="en-US"/>
        </w:rPr>
      </w:pPr>
      <w:r w:rsidRPr="00F444CF">
        <w:rPr>
          <w:lang w:bidi="en-US"/>
        </w:rPr>
        <w:t xml:space="preserve">use their best endeavours to assist in an investigation </w:t>
      </w:r>
      <w:r w:rsidR="00616C49" w:rsidRPr="00F444CF">
        <w:rPr>
          <w:lang w:bidi="en-US"/>
        </w:rPr>
        <w:t>of serious wrongdoing if asked to do so by a person</w:t>
      </w:r>
      <w:r w:rsidR="00616C49">
        <w:rPr>
          <w:rFonts w:cs="Arial"/>
          <w:lang w:bidi="en-US"/>
        </w:rPr>
        <w:t xml:space="preserve"> dealing with a voluntary PID on behalf of </w:t>
      </w:r>
      <w:r w:rsidR="00CD3964">
        <w:rPr>
          <w:rFonts w:cs="Arial"/>
          <w:lang w:bidi="en-US"/>
        </w:rPr>
        <w:t>[</w:t>
      </w:r>
      <w:r w:rsidR="00616C49">
        <w:rPr>
          <w:rFonts w:cs="Arial"/>
          <w:lang w:bidi="en-US"/>
        </w:rPr>
        <w:t>agency name]</w:t>
      </w:r>
    </w:p>
    <w:p w14:paraId="00A5CC18" w14:textId="7F84FA42" w:rsidR="00107824" w:rsidRDefault="00F444CF" w:rsidP="00833D0C">
      <w:pPr>
        <w:pStyle w:val="ListParagraph"/>
        <w:rPr>
          <w:lang w:bidi="en-US"/>
        </w:rPr>
      </w:pPr>
      <w:r>
        <w:rPr>
          <w:lang w:bidi="en-US"/>
        </w:rPr>
        <w:t xml:space="preserve">treat </w:t>
      </w:r>
      <w:r w:rsidR="00152FEC">
        <w:rPr>
          <w:lang w:bidi="en-US"/>
        </w:rPr>
        <w:t xml:space="preserve">any person </w:t>
      </w:r>
      <w:r w:rsidR="00F643EB">
        <w:rPr>
          <w:lang w:bidi="en-US"/>
        </w:rPr>
        <w:t>d</w:t>
      </w:r>
      <w:r w:rsidR="00A36DF2">
        <w:rPr>
          <w:lang w:bidi="en-US"/>
        </w:rPr>
        <w:t xml:space="preserve">ealing with </w:t>
      </w:r>
      <w:r w:rsidR="00152FEC">
        <w:rPr>
          <w:lang w:bidi="en-US"/>
        </w:rPr>
        <w:t>or investigating reports of serious wrongdoing with respect.</w:t>
      </w:r>
    </w:p>
    <w:p w14:paraId="651E66F0" w14:textId="270408EC" w:rsidR="008D7BF8" w:rsidRPr="008D7BF8" w:rsidRDefault="00152FEC" w:rsidP="007653F6">
      <w:pPr>
        <w:pStyle w:val="BodyText"/>
        <w:rPr>
          <w:lang w:bidi="en-US"/>
        </w:rPr>
      </w:pPr>
      <w:r>
        <w:rPr>
          <w:lang w:bidi="en-US"/>
        </w:rPr>
        <w:t xml:space="preserve">All employees must </w:t>
      </w:r>
      <w:r w:rsidR="00703A35">
        <w:rPr>
          <w:lang w:bidi="en-US"/>
        </w:rPr>
        <w:t>not</w:t>
      </w:r>
      <w:r w:rsidR="00274F3C">
        <w:rPr>
          <w:lang w:bidi="en-US"/>
        </w:rPr>
        <w:t xml:space="preserve"> take detrimental action against any person who has made, may in the future make, </w:t>
      </w:r>
      <w:r w:rsidR="00616D7E">
        <w:rPr>
          <w:lang w:bidi="en-US"/>
        </w:rPr>
        <w:t>or is suspected</w:t>
      </w:r>
      <w:r w:rsidR="003421F8">
        <w:rPr>
          <w:lang w:bidi="en-US"/>
        </w:rPr>
        <w:t xml:space="preserve"> of having made, a PID.</w:t>
      </w: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8D7BF8" w14:paraId="1F6C452E" w14:textId="77777777" w:rsidTr="00164592">
        <w:trPr>
          <w:trHeight w:val="1021"/>
        </w:trPr>
        <w:tc>
          <w:tcPr>
            <w:tcW w:w="9065" w:type="dxa"/>
            <w:shd w:val="clear" w:color="auto" w:fill="CEDDD4"/>
          </w:tcPr>
          <w:p w14:paraId="2DFB5EB0" w14:textId="6B0030E6" w:rsidR="008D7BF8" w:rsidRPr="00164592" w:rsidRDefault="000A7D1A" w:rsidP="00164592">
            <w:pPr>
              <w:pStyle w:val="Notestyle"/>
            </w:pPr>
            <w:r w:rsidRPr="001036E3">
              <w:rPr>
                <w:b/>
                <w:iCs w:val="0"/>
              </w:rPr>
              <w:t>Guidance</w:t>
            </w:r>
            <w:r w:rsidR="008D7BF8" w:rsidRPr="001036E3">
              <w:rPr>
                <w:iCs w:val="0"/>
              </w:rPr>
              <w:t>:</w:t>
            </w:r>
            <w:r w:rsidR="008D7BF8" w:rsidRPr="0049780B">
              <w:t xml:space="preserve"> </w:t>
            </w:r>
            <w:r w:rsidR="008D7BF8" w:rsidRPr="00833509">
              <w:t>These are the minimum roles under s</w:t>
            </w:r>
            <w:r w:rsidR="003B5571">
              <w:t>ection</w:t>
            </w:r>
            <w:r w:rsidR="008D7BF8" w:rsidRPr="00833509">
              <w:t xml:space="preserve"> 43(2) of the PID Act that must be included in an agency’s PID policy (with the addition of ‘all employees’).</w:t>
            </w:r>
            <w:r w:rsidR="008D7BF8" w:rsidRPr="0049780B">
              <w:t xml:space="preserve"> If agencies have given responsibilities to different persons, other roles or specific units within the agency</w:t>
            </w:r>
            <w:r w:rsidR="00D93C82">
              <w:t>,</w:t>
            </w:r>
            <w:r w:rsidR="008D7BF8" w:rsidRPr="0049780B">
              <w:t xml:space="preserve"> then this information should be </w:t>
            </w:r>
            <w:r w:rsidR="008D7BF8">
              <w:t>included</w:t>
            </w:r>
            <w:r w:rsidR="008D7BF8" w:rsidRPr="0049780B">
              <w:t>. Agencies should also modify any content to appropriately reflect the responsibilities of the head of agency and disclosure officers.</w:t>
            </w:r>
          </w:p>
        </w:tc>
      </w:tr>
    </w:tbl>
    <w:p w14:paraId="23F320A9" w14:textId="5438206A" w:rsidR="000A54B8" w:rsidRPr="00DA1C2A" w:rsidRDefault="001D5C9C" w:rsidP="00E3369E">
      <w:pPr>
        <w:pStyle w:val="Heading2"/>
        <w:numPr>
          <w:ilvl w:val="0"/>
          <w:numId w:val="16"/>
        </w:numPr>
        <w:ind w:left="567" w:hanging="567"/>
      </w:pPr>
      <w:bookmarkStart w:id="143" w:name="_Toc140251737"/>
      <w:r>
        <w:t>How we will deal</w:t>
      </w:r>
      <w:r w:rsidR="00A03802">
        <w:t xml:space="preserve"> </w:t>
      </w:r>
      <w:r w:rsidR="00F57CB2" w:rsidRPr="00DA1C2A">
        <w:t>with voluntary PIDs</w:t>
      </w:r>
      <w:bookmarkEnd w:id="143"/>
    </w:p>
    <w:p w14:paraId="41876EEF" w14:textId="38547097" w:rsidR="0094221D" w:rsidRPr="00DA1C2A" w:rsidRDefault="00E53302" w:rsidP="00E3369E">
      <w:pPr>
        <w:pStyle w:val="Heading3"/>
        <w:numPr>
          <w:ilvl w:val="0"/>
          <w:numId w:val="19"/>
        </w:numPr>
        <w:ind w:left="567" w:hanging="567"/>
      </w:pPr>
      <w:bookmarkStart w:id="144" w:name="_Toc140251738"/>
      <w:r w:rsidRPr="00700F9F">
        <w:t>H</w:t>
      </w:r>
      <w:r>
        <w:t xml:space="preserve">ow </w:t>
      </w:r>
      <w:r w:rsidR="00CD3964">
        <w:t>[</w:t>
      </w:r>
      <w:r>
        <w:t>we</w:t>
      </w:r>
      <w:r w:rsidR="0090481B">
        <w:t>/</w:t>
      </w:r>
      <w:r w:rsidR="000955D8">
        <w:t>a</w:t>
      </w:r>
      <w:r w:rsidR="0090481B">
        <w:t>gency name</w:t>
      </w:r>
      <w:r w:rsidR="00047215">
        <w:t>]</w:t>
      </w:r>
      <w:r>
        <w:t xml:space="preserve"> will acknowledge that we have receive</w:t>
      </w:r>
      <w:r w:rsidR="0090481B">
        <w:t>d</w:t>
      </w:r>
      <w:r>
        <w:t xml:space="preserve"> a </w:t>
      </w:r>
      <w:r w:rsidR="00720A5B">
        <w:t>report</w:t>
      </w:r>
      <w:r>
        <w:t xml:space="preserve"> and keep the person who made </w:t>
      </w:r>
      <w:r w:rsidR="00720A5B">
        <w:t>it</w:t>
      </w:r>
      <w:r>
        <w:t xml:space="preserve"> informed</w:t>
      </w:r>
      <w:bookmarkEnd w:id="144"/>
      <w:r>
        <w:t xml:space="preserve"> </w:t>
      </w:r>
    </w:p>
    <w:p w14:paraId="3702EFC4" w14:textId="169930B3" w:rsidR="00FE05F8" w:rsidRDefault="00AC44BB" w:rsidP="00164592">
      <w:pPr>
        <w:pStyle w:val="BodyText"/>
      </w:pPr>
      <w:r>
        <w:t xml:space="preserve">When a disclosure officer </w:t>
      </w:r>
      <w:r w:rsidR="00493F3B">
        <w:t xml:space="preserve">in </w:t>
      </w:r>
      <w:r w:rsidR="00CD3964">
        <w:t>[</w:t>
      </w:r>
      <w:r w:rsidR="00493F3B">
        <w:t xml:space="preserve">agency name] receives a </w:t>
      </w:r>
      <w:r w:rsidR="00720A5B">
        <w:t>report</w:t>
      </w:r>
      <w:r w:rsidR="00F61982">
        <w:t xml:space="preserve"> which is a voluntary PID, or looks like it may be a voluntary PID, </w:t>
      </w:r>
      <w:r w:rsidR="003403F5">
        <w:t xml:space="preserve">the person who made the </w:t>
      </w:r>
      <w:r w:rsidR="00720A5B">
        <w:t>report</w:t>
      </w:r>
      <w:r w:rsidR="003403F5">
        <w:t xml:space="preserve"> </w:t>
      </w:r>
      <w:r w:rsidR="00FE05F8">
        <w:t>will receive the following information</w:t>
      </w:r>
      <w:r w:rsidR="002E52EF">
        <w:t>:</w:t>
      </w:r>
    </w:p>
    <w:p w14:paraId="63AB7652" w14:textId="413EB101" w:rsidR="008C7CB2" w:rsidRPr="00164592" w:rsidRDefault="00F675DB" w:rsidP="00164592">
      <w:pPr>
        <w:pStyle w:val="ListParagraph"/>
      </w:pPr>
      <w:r w:rsidRPr="00164592">
        <w:t xml:space="preserve">You will receive an </w:t>
      </w:r>
      <w:r w:rsidR="004A607B" w:rsidRPr="00164592">
        <w:t>acknowledgment</w:t>
      </w:r>
      <w:r w:rsidR="008C7CB2" w:rsidRPr="00164592">
        <w:t xml:space="preserve"> </w:t>
      </w:r>
      <w:r w:rsidR="00C01168" w:rsidRPr="00164592">
        <w:t>that</w:t>
      </w:r>
      <w:r w:rsidRPr="00164592">
        <w:t xml:space="preserve"> the </w:t>
      </w:r>
      <w:r w:rsidR="00720A5B" w:rsidRPr="00164592">
        <w:t>report</w:t>
      </w:r>
      <w:r w:rsidRPr="00164592">
        <w:t xml:space="preserve"> has been received</w:t>
      </w:r>
      <w:r w:rsidR="007F3519" w:rsidRPr="00164592">
        <w:t xml:space="preserve">. This </w:t>
      </w:r>
      <w:r w:rsidR="00F16254" w:rsidRPr="00164592">
        <w:t>acknowledgement</w:t>
      </w:r>
      <w:r w:rsidR="007F3519" w:rsidRPr="00164592">
        <w:t xml:space="preserve"> </w:t>
      </w:r>
      <w:r w:rsidR="008C7CB2" w:rsidRPr="00164592">
        <w:t>will:</w:t>
      </w:r>
    </w:p>
    <w:p w14:paraId="547C58E1" w14:textId="1D1954B3" w:rsidR="004A607B" w:rsidRPr="00164592" w:rsidRDefault="00F16254" w:rsidP="00D81389">
      <w:pPr>
        <w:pStyle w:val="ListParagraph"/>
        <w:numPr>
          <w:ilvl w:val="1"/>
          <w:numId w:val="6"/>
        </w:numPr>
        <w:ind w:left="1276" w:hanging="283"/>
      </w:pPr>
      <w:r w:rsidRPr="00164592">
        <w:t xml:space="preserve">state </w:t>
      </w:r>
      <w:r w:rsidR="004A607B" w:rsidRPr="00164592">
        <w:t xml:space="preserve">that the </w:t>
      </w:r>
      <w:r w:rsidR="00720A5B" w:rsidRPr="00164592">
        <w:t>report</w:t>
      </w:r>
      <w:r w:rsidR="004A607B" w:rsidRPr="00164592">
        <w:t xml:space="preserve"> will be assessed to </w:t>
      </w:r>
      <w:r w:rsidR="00F017C5" w:rsidRPr="00164592">
        <w:t>identify whether it is a PID</w:t>
      </w:r>
    </w:p>
    <w:p w14:paraId="084F2AE0" w14:textId="0DEE098A" w:rsidR="004A607B" w:rsidRPr="00164592" w:rsidRDefault="00F16254" w:rsidP="00D81389">
      <w:pPr>
        <w:pStyle w:val="ListParagraph"/>
        <w:numPr>
          <w:ilvl w:val="1"/>
          <w:numId w:val="6"/>
        </w:numPr>
        <w:ind w:left="1276" w:hanging="283"/>
      </w:pPr>
      <w:r w:rsidRPr="00164592">
        <w:t xml:space="preserve">state </w:t>
      </w:r>
      <w:r w:rsidR="007F3519" w:rsidRPr="00164592">
        <w:t xml:space="preserve">that the PID Act applies to how </w:t>
      </w:r>
      <w:r w:rsidR="00CD3964" w:rsidRPr="00164592">
        <w:t>[</w:t>
      </w:r>
      <w:r w:rsidR="007F3519" w:rsidRPr="00164592">
        <w:t>we/agency name] deal</w:t>
      </w:r>
      <w:r w:rsidRPr="00164592">
        <w:t>s</w:t>
      </w:r>
      <w:r w:rsidR="007F3519" w:rsidRPr="00164592">
        <w:t xml:space="preserve"> with the </w:t>
      </w:r>
      <w:r w:rsidR="00720A5B" w:rsidRPr="00164592">
        <w:t>report</w:t>
      </w:r>
      <w:r w:rsidR="007F3519" w:rsidRPr="00164592">
        <w:t xml:space="preserve"> </w:t>
      </w:r>
    </w:p>
    <w:p w14:paraId="1D80825B" w14:textId="34A44458" w:rsidR="00FE05F8" w:rsidRPr="00164592" w:rsidRDefault="00A47178" w:rsidP="00D81389">
      <w:pPr>
        <w:pStyle w:val="ListParagraph"/>
        <w:numPr>
          <w:ilvl w:val="1"/>
          <w:numId w:val="6"/>
        </w:numPr>
        <w:ind w:left="1276" w:hanging="283"/>
      </w:pPr>
      <w:r w:rsidRPr="00164592">
        <w:t>provide clear information on how you can access this PID policy</w:t>
      </w:r>
    </w:p>
    <w:p w14:paraId="22650654" w14:textId="4DC46563" w:rsidR="00F16254" w:rsidRPr="00164592" w:rsidRDefault="00A47178" w:rsidP="00D81389">
      <w:pPr>
        <w:pStyle w:val="ListParagraph"/>
        <w:numPr>
          <w:ilvl w:val="1"/>
          <w:numId w:val="6"/>
        </w:numPr>
        <w:ind w:left="1276" w:hanging="283"/>
      </w:pPr>
      <w:r w:rsidRPr="00164592">
        <w:t xml:space="preserve">provide you </w:t>
      </w:r>
      <w:r w:rsidR="00AF0ED6" w:rsidRPr="00164592">
        <w:t>with</w:t>
      </w:r>
      <w:r w:rsidRPr="00164592">
        <w:t xml:space="preserve"> details of a contact person and </w:t>
      </w:r>
      <w:r w:rsidR="0045104C" w:rsidRPr="00164592">
        <w:t>available supports.</w:t>
      </w:r>
    </w:p>
    <w:p w14:paraId="6E6BA5C3" w14:textId="0FC3184C" w:rsidR="008C7CB2" w:rsidRPr="00164592" w:rsidRDefault="00744535" w:rsidP="00164592">
      <w:pPr>
        <w:pStyle w:val="ListParagraph"/>
      </w:pPr>
      <w:r w:rsidRPr="00164592">
        <w:t xml:space="preserve">If the </w:t>
      </w:r>
      <w:r w:rsidR="00720A5B" w:rsidRPr="00164592">
        <w:t>report</w:t>
      </w:r>
      <w:r w:rsidRPr="00164592">
        <w:t xml:space="preserve"> is a voluntary PID, we will inform you as soon as possible </w:t>
      </w:r>
      <w:r w:rsidR="000456F2" w:rsidRPr="00164592">
        <w:t xml:space="preserve">how we intend to </w:t>
      </w:r>
      <w:r w:rsidR="00890BFE" w:rsidRPr="00164592">
        <w:t xml:space="preserve">deal with the </w:t>
      </w:r>
      <w:r w:rsidR="00720A5B" w:rsidRPr="00164592">
        <w:t>report</w:t>
      </w:r>
      <w:r w:rsidR="00890BFE" w:rsidRPr="00164592">
        <w:t xml:space="preserve">. This </w:t>
      </w:r>
      <w:r w:rsidR="00FF0C8C" w:rsidRPr="00164592">
        <w:t>may</w:t>
      </w:r>
      <w:r w:rsidR="00890BFE" w:rsidRPr="00164592">
        <w:t xml:space="preserve"> include</w:t>
      </w:r>
      <w:r w:rsidR="00F2623F">
        <w:t>:</w:t>
      </w:r>
      <w:r w:rsidR="00890BFE" w:rsidRPr="00164592">
        <w:t xml:space="preserve"> </w:t>
      </w:r>
    </w:p>
    <w:p w14:paraId="0B4727D3" w14:textId="36AF0FD5" w:rsidR="00582EAE" w:rsidRDefault="00582EAE" w:rsidP="00582EAE">
      <w:pPr>
        <w:pStyle w:val="ListParagraph"/>
        <w:numPr>
          <w:ilvl w:val="1"/>
          <w:numId w:val="6"/>
        </w:numPr>
        <w:ind w:left="1276" w:hanging="283"/>
      </w:pPr>
      <w:r>
        <w:t>t</w:t>
      </w:r>
      <w:r w:rsidR="00A947E7">
        <w:t>hat w</w:t>
      </w:r>
      <w:r w:rsidR="00144BA0" w:rsidRPr="00164592">
        <w:t>e are i</w:t>
      </w:r>
      <w:r w:rsidR="00890BFE" w:rsidRPr="00164592">
        <w:t>nvestigating the serious wrongdoing</w:t>
      </w:r>
    </w:p>
    <w:p w14:paraId="77711BC1" w14:textId="74FF3C1C" w:rsidR="00582EAE" w:rsidRDefault="00582EAE" w:rsidP="00582EAE">
      <w:pPr>
        <w:pStyle w:val="ListParagraph"/>
        <w:numPr>
          <w:ilvl w:val="1"/>
          <w:numId w:val="6"/>
        </w:numPr>
        <w:ind w:left="1276" w:hanging="283"/>
      </w:pPr>
      <w:r>
        <w:t>that w</w:t>
      </w:r>
      <w:r w:rsidR="006A392B" w:rsidRPr="00164592">
        <w:t xml:space="preserve">e will refer the </w:t>
      </w:r>
      <w:r w:rsidR="00720A5B" w:rsidRPr="00164592">
        <w:t>report</w:t>
      </w:r>
      <w:r w:rsidR="004478D6" w:rsidRPr="00164592">
        <w:t xml:space="preserve"> to a different agency </w:t>
      </w:r>
      <w:r w:rsidR="00B2780C" w:rsidRPr="00164592">
        <w:t xml:space="preserve">(if appropriate) </w:t>
      </w:r>
      <w:r w:rsidR="006A392B" w:rsidRPr="00164592">
        <w:t xml:space="preserve">to deal with the voluntary PID. </w:t>
      </w:r>
      <w:r w:rsidR="00AD11ED" w:rsidRPr="00164592">
        <w:t>If we do this, we will provide you with</w:t>
      </w:r>
      <w:r w:rsidR="004478D6" w:rsidRPr="00164592">
        <w:t xml:space="preserve"> details of this referral</w:t>
      </w:r>
    </w:p>
    <w:p w14:paraId="09C8D45C" w14:textId="0188C819" w:rsidR="00812419" w:rsidRPr="0093701F" w:rsidRDefault="00AD11ED" w:rsidP="00582EAE">
      <w:pPr>
        <w:pStyle w:val="ListParagraph"/>
        <w:numPr>
          <w:ilvl w:val="1"/>
          <w:numId w:val="6"/>
        </w:numPr>
        <w:ind w:left="1276" w:hanging="283"/>
      </w:pPr>
      <w:r>
        <w:t xml:space="preserve">If we decide to not investigate the </w:t>
      </w:r>
      <w:r w:rsidR="00720A5B">
        <w:t>report</w:t>
      </w:r>
      <w:r>
        <w:t xml:space="preserve"> and to not refer it to another agency for it to be investigated, we will </w:t>
      </w:r>
      <w:r w:rsidR="00B76E00">
        <w:t xml:space="preserve">tell </w:t>
      </w:r>
      <w:proofErr w:type="gramStart"/>
      <w:r w:rsidR="00B76E00">
        <w:t>you</w:t>
      </w:r>
      <w:proofErr w:type="gramEnd"/>
      <w:r w:rsidR="00B76E00">
        <w:t xml:space="preserve"> the reasons for this decision. We will also notify the NSW Ombudsman of this decision.</w:t>
      </w:r>
    </w:p>
    <w:p w14:paraId="6E6419C0" w14:textId="77777777" w:rsidR="00ED4945" w:rsidRDefault="0002300C" w:rsidP="00ED4945">
      <w:pPr>
        <w:pStyle w:val="ListParagraph"/>
        <w:ind w:right="261"/>
      </w:pPr>
      <w:r w:rsidRPr="00164592">
        <w:t xml:space="preserve">If </w:t>
      </w:r>
      <w:r w:rsidR="00B76E00" w:rsidRPr="00164592">
        <w:t xml:space="preserve">we decide to investigate </w:t>
      </w:r>
      <w:r w:rsidRPr="00164592">
        <w:t>the serious wrongdoing</w:t>
      </w:r>
      <w:r w:rsidR="00B76E00" w:rsidRPr="00164592">
        <w:t xml:space="preserve">, we will </w:t>
      </w:r>
      <w:r w:rsidR="00D91534" w:rsidRPr="00164592">
        <w:t xml:space="preserve">provide </w:t>
      </w:r>
      <w:r w:rsidR="00290073" w:rsidRPr="00164592">
        <w:t>you</w:t>
      </w:r>
      <w:r w:rsidR="00B76E00" w:rsidRPr="00164592">
        <w:t xml:space="preserve"> </w:t>
      </w:r>
      <w:r w:rsidRPr="00164592">
        <w:t xml:space="preserve">with updates on the investigation </w:t>
      </w:r>
      <w:r w:rsidR="00B76E00" w:rsidRPr="00164592">
        <w:t xml:space="preserve">at least every </w:t>
      </w:r>
      <w:r w:rsidR="00D93C82" w:rsidRPr="00164592">
        <w:t>three</w:t>
      </w:r>
      <w:r w:rsidR="00716538" w:rsidRPr="00164592">
        <w:t xml:space="preserve"> months. </w:t>
      </w:r>
      <w:r w:rsidR="00B76E00" w:rsidRPr="00164592">
        <w:t xml:space="preserve">During this time, if you would like more frequent updates, you should contact the contact person who was nominated when you made the </w:t>
      </w:r>
      <w:r w:rsidR="00720A5B" w:rsidRPr="00164592">
        <w:t>report</w:t>
      </w:r>
      <w:r w:rsidR="00B76E00" w:rsidRPr="00164592">
        <w:t>.</w:t>
      </w:r>
    </w:p>
    <w:p w14:paraId="74D06791" w14:textId="1DE4D24A" w:rsidR="00D37380" w:rsidRPr="00833D0C" w:rsidRDefault="00E2077A" w:rsidP="004A19D2">
      <w:pPr>
        <w:pStyle w:val="ListParagraph"/>
        <w:numPr>
          <w:ilvl w:val="1"/>
          <w:numId w:val="6"/>
        </w:numPr>
        <w:ind w:left="1276" w:right="261" w:hanging="283"/>
      </w:pPr>
      <w:r w:rsidRPr="00833D0C">
        <w:t xml:space="preserve">If we investigate the serious wrongdoing, we will provide </w:t>
      </w:r>
      <w:r w:rsidR="0006597A" w:rsidRPr="00833D0C">
        <w:t>you</w:t>
      </w:r>
      <w:r w:rsidRPr="00833D0C">
        <w:t xml:space="preserve"> with the following information once the investigation is complete:</w:t>
      </w:r>
    </w:p>
    <w:p w14:paraId="20B3333B" w14:textId="7ABA573B" w:rsidR="00BA692F" w:rsidRDefault="000A3BB9" w:rsidP="00D80113">
      <w:pPr>
        <w:pStyle w:val="ListBullet2"/>
        <w:numPr>
          <w:ilvl w:val="2"/>
          <w:numId w:val="6"/>
        </w:numPr>
        <w:ind w:left="1843" w:hanging="283"/>
      </w:pPr>
      <w:r>
        <w:lastRenderedPageBreak/>
        <w:t>a</w:t>
      </w:r>
      <w:r w:rsidR="0002300C" w:rsidRPr="00E2077A">
        <w:t xml:space="preserve"> description of the results of the </w:t>
      </w:r>
      <w:r w:rsidR="003909FE" w:rsidRPr="00E2077A">
        <w:t xml:space="preserve">investigation </w:t>
      </w:r>
      <w:r w:rsidR="00DA78C0">
        <w:t>— that is,</w:t>
      </w:r>
      <w:r w:rsidR="00666D5F">
        <w:t xml:space="preserve"> we will tell you whether we found that serious wrongdoing took place.</w:t>
      </w:r>
    </w:p>
    <w:p w14:paraId="51298A04" w14:textId="08314169" w:rsidR="00BA692F" w:rsidRDefault="000A3BB9" w:rsidP="00D80113">
      <w:pPr>
        <w:pStyle w:val="ListBullet2"/>
        <w:numPr>
          <w:ilvl w:val="2"/>
          <w:numId w:val="6"/>
        </w:numPr>
        <w:ind w:left="1843" w:hanging="283"/>
      </w:pPr>
      <w:r>
        <w:t>i</w:t>
      </w:r>
      <w:r w:rsidR="0002300C" w:rsidRPr="002A58FD">
        <w:t>nformation about any corrective action as a result of the investigation</w:t>
      </w:r>
      <w:r w:rsidR="002A4F2C">
        <w:t>/s</w:t>
      </w:r>
      <w:r w:rsidR="00666D5F" w:rsidRPr="002A58FD">
        <w:t xml:space="preserve"> </w:t>
      </w:r>
      <w:r w:rsidR="00337EF3">
        <w:t>—</w:t>
      </w:r>
      <w:r w:rsidR="00666D5F" w:rsidRPr="002A58FD">
        <w:t xml:space="preserve"> this </w:t>
      </w:r>
      <w:r w:rsidR="00666D5F" w:rsidRPr="00833509">
        <w:t xml:space="preserve">means we will tell you what action we took </w:t>
      </w:r>
      <w:r w:rsidR="005D5251" w:rsidRPr="00833509">
        <w:t>in relation to the person who engaged in the serious wrongdoing or if the serious wrongdoing was by our agency, what we have put in place to address that serious wrongdoing.</w:t>
      </w:r>
    </w:p>
    <w:p w14:paraId="5551EB6B" w14:textId="70B454E3" w:rsidR="006B71D6" w:rsidRPr="00833D0C" w:rsidRDefault="005D5251" w:rsidP="00D80113">
      <w:pPr>
        <w:pStyle w:val="ListParagraph"/>
        <w:numPr>
          <w:ilvl w:val="1"/>
          <w:numId w:val="6"/>
        </w:numPr>
        <w:ind w:left="1276" w:hanging="283"/>
      </w:pPr>
      <w:r w:rsidRPr="00833D0C">
        <w:t>Corrective action could include</w:t>
      </w:r>
      <w:r w:rsidR="009A711B" w:rsidRPr="00833D0C">
        <w:t xml:space="preserve"> t</w:t>
      </w:r>
      <w:r w:rsidR="004911C5" w:rsidRPr="00833D0C">
        <w:t xml:space="preserve">aking disciplinary action against someone or changing the practices, policies and procedures </w:t>
      </w:r>
      <w:r w:rsidR="003A7993" w:rsidRPr="00833D0C">
        <w:t>that we have in place which led to the serious wrongdoing.</w:t>
      </w:r>
    </w:p>
    <w:p w14:paraId="0CB46D80" w14:textId="317D4B71" w:rsidR="006B71D6" w:rsidRPr="00164592" w:rsidRDefault="00B43A7F" w:rsidP="00164592">
      <w:pPr>
        <w:pStyle w:val="ListParagraph"/>
      </w:pPr>
      <w:r w:rsidRPr="00164592">
        <w:t xml:space="preserve">There may be some details </w:t>
      </w:r>
      <w:r w:rsidR="00627017" w:rsidRPr="00164592">
        <w:t xml:space="preserve">about </w:t>
      </w:r>
      <w:r w:rsidR="00BF68C0" w:rsidRPr="00164592">
        <w:t xml:space="preserve">both </w:t>
      </w:r>
      <w:r w:rsidR="00627017" w:rsidRPr="00164592">
        <w:t xml:space="preserve">the findings made </w:t>
      </w:r>
      <w:r w:rsidR="00C14AD7" w:rsidRPr="00164592">
        <w:t xml:space="preserve">as a result of the investigation and the corrective action taken that cannot be revealed to </w:t>
      </w:r>
      <w:r w:rsidR="0021776D" w:rsidRPr="00164592">
        <w:t>you</w:t>
      </w:r>
      <w:r w:rsidR="00C14AD7" w:rsidRPr="00164592">
        <w:t xml:space="preserve">. </w:t>
      </w:r>
      <w:r w:rsidR="00BB4160" w:rsidRPr="00164592">
        <w:t>We will</w:t>
      </w:r>
      <w:r w:rsidR="00876382" w:rsidRPr="00164592">
        <w:t xml:space="preserve"> always balance the right of a person who makes a </w:t>
      </w:r>
      <w:r w:rsidR="00720A5B" w:rsidRPr="00164592">
        <w:t>report</w:t>
      </w:r>
      <w:r w:rsidR="00876382" w:rsidRPr="00164592">
        <w:t xml:space="preserve"> </w:t>
      </w:r>
      <w:r w:rsidR="00BB75F2" w:rsidRPr="00164592">
        <w:t xml:space="preserve">to know the outcome of that </w:t>
      </w:r>
      <w:r w:rsidR="00720A5B" w:rsidRPr="00164592">
        <w:t>report</w:t>
      </w:r>
      <w:r w:rsidR="00BB75F2" w:rsidRPr="00164592">
        <w:t>, with other</w:t>
      </w:r>
      <w:r w:rsidR="001B6E16" w:rsidRPr="00164592">
        <w:t xml:space="preserve"> legal</w:t>
      </w:r>
      <w:r w:rsidR="00BB75F2" w:rsidRPr="00164592">
        <w:t xml:space="preserve"> obliga</w:t>
      </w:r>
      <w:r w:rsidR="008068C0" w:rsidRPr="00164592">
        <w:t>tions we have</w:t>
      </w:r>
      <w:r w:rsidR="00CB1D58" w:rsidRPr="00164592">
        <w:t xml:space="preserve">. </w:t>
      </w:r>
    </w:p>
    <w:p w14:paraId="30031DBA" w14:textId="2C5025A4" w:rsidR="00DC6A07" w:rsidRDefault="002B385E" w:rsidP="00DC6A07">
      <w:pPr>
        <w:pStyle w:val="ListParagraph"/>
        <w:ind w:left="568" w:hanging="284"/>
      </w:pPr>
      <w:r w:rsidRPr="00164592">
        <w:t xml:space="preserve">If you have made an anonymous </w:t>
      </w:r>
      <w:r w:rsidR="00720A5B" w:rsidRPr="00164592">
        <w:t>report</w:t>
      </w:r>
      <w:r w:rsidRPr="00164592">
        <w:t>, in many cases we may not be able to provide this information to you</w:t>
      </w:r>
      <w:r w:rsidR="008D7BF8" w:rsidRPr="00164592">
        <w:t>.</w:t>
      </w:r>
    </w:p>
    <w:p w14:paraId="1372AAF7" w14:textId="77777777" w:rsidR="00D80113" w:rsidRPr="00164592" w:rsidRDefault="00D80113" w:rsidP="00D80113">
      <w:pPr>
        <w:pStyle w:val="ListParagraph"/>
        <w:numPr>
          <w:ilvl w:val="0"/>
          <w:numId w:val="0"/>
        </w:numPr>
        <w:ind w:left="568"/>
      </w:pP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8D7BF8" w14:paraId="35462B0D" w14:textId="77777777" w:rsidTr="00833D0C">
        <w:tc>
          <w:tcPr>
            <w:tcW w:w="9060" w:type="dxa"/>
            <w:shd w:val="clear" w:color="auto" w:fill="CEDDD4"/>
          </w:tcPr>
          <w:p w14:paraId="73F976E1" w14:textId="1F1BCBF1" w:rsidR="00736C81" w:rsidRPr="00A24ACC" w:rsidRDefault="000A7D1A" w:rsidP="00833D0C">
            <w:pPr>
              <w:pStyle w:val="Notestyle"/>
            </w:pPr>
            <w:r w:rsidRPr="001036E3">
              <w:rPr>
                <w:b/>
                <w:iCs w:val="0"/>
              </w:rPr>
              <w:t>Guidance</w:t>
            </w:r>
            <w:r w:rsidR="00736C81" w:rsidRPr="001036E3">
              <w:rPr>
                <w:iCs w:val="0"/>
              </w:rPr>
              <w:t>:</w:t>
            </w:r>
            <w:r w:rsidR="00736C81">
              <w:rPr>
                <w:b/>
              </w:rPr>
              <w:t xml:space="preserve"> </w:t>
            </w:r>
            <w:r w:rsidR="00736C81" w:rsidRPr="00833509">
              <w:t>Under</w:t>
            </w:r>
            <w:r w:rsidR="00337EF3">
              <w:t xml:space="preserve"> section </w:t>
            </w:r>
            <w:r w:rsidR="00736C81" w:rsidRPr="00833509">
              <w:t xml:space="preserve">43(1)(b) of the PID Act, agencies must set out the procedures they have in place for what they will do as soon as a </w:t>
            </w:r>
            <w:r w:rsidR="00720A5B">
              <w:t>report</w:t>
            </w:r>
            <w:r w:rsidR="00720A5B" w:rsidRPr="00833509">
              <w:t xml:space="preserve"> </w:t>
            </w:r>
            <w:r w:rsidR="00736C81" w:rsidRPr="00833509">
              <w:t>is received by the</w:t>
            </w:r>
            <w:r w:rsidR="00BF68C0">
              <w:t>m</w:t>
            </w:r>
            <w:r w:rsidR="00736C81" w:rsidRPr="00833509">
              <w:t xml:space="preserve"> and the procedures for providing information to the maker of a voluntary PID.</w:t>
            </w:r>
            <w:r w:rsidR="00736C81">
              <w:t xml:space="preserve"> This will include acknowledging that the </w:t>
            </w:r>
            <w:r w:rsidR="00720A5B">
              <w:t xml:space="preserve">report </w:t>
            </w:r>
            <w:r w:rsidR="00736C81">
              <w:t xml:space="preserve">has been received, setting expectations with the person who made the </w:t>
            </w:r>
            <w:r w:rsidR="00720A5B">
              <w:t xml:space="preserve">report </w:t>
            </w:r>
            <w:r w:rsidR="00736C81">
              <w:t>about the next steps</w:t>
            </w:r>
            <w:r w:rsidR="00BF68C0">
              <w:t>,</w:t>
            </w:r>
            <w:r w:rsidR="00736C81">
              <w:t xml:space="preserve"> and how and when the agency will keep the maker of the </w:t>
            </w:r>
            <w:r w:rsidR="00720A5B">
              <w:t>report</w:t>
            </w:r>
            <w:r w:rsidR="00736C81">
              <w:t xml:space="preserve"> up to date. Agencies should also identify what support structures they will have in place to protect and support the maker of the </w:t>
            </w:r>
            <w:r w:rsidR="00720A5B">
              <w:t>report.</w:t>
            </w:r>
            <w:r w:rsidR="00736C81" w:rsidRPr="00A24ACC">
              <w:t xml:space="preserve"> This could include information about:</w:t>
            </w:r>
          </w:p>
          <w:p w14:paraId="44528FA6" w14:textId="086B93C7" w:rsidR="00736C81" w:rsidRDefault="00736C81" w:rsidP="00833D0C">
            <w:pPr>
              <w:pStyle w:val="notestylebullets"/>
            </w:pPr>
            <w:r>
              <w:t>the</w:t>
            </w:r>
            <w:r w:rsidRPr="00291E7A">
              <w:t xml:space="preserve"> unit</w:t>
            </w:r>
            <w:r>
              <w:t xml:space="preserve"> within the agency</w:t>
            </w:r>
            <w:r w:rsidRPr="00291E7A">
              <w:t xml:space="preserve"> or </w:t>
            </w:r>
            <w:r>
              <w:t xml:space="preserve">the </w:t>
            </w:r>
            <w:r w:rsidRPr="00291E7A">
              <w:t xml:space="preserve">person </w:t>
            </w:r>
            <w:r>
              <w:t xml:space="preserve">that </w:t>
            </w:r>
            <w:r w:rsidRPr="00291E7A">
              <w:t>will update the maker</w:t>
            </w:r>
            <w:r>
              <w:t xml:space="preserve"> (in many cases it will be the disclosure officer who received the </w:t>
            </w:r>
            <w:r w:rsidR="00720A5B">
              <w:t>report</w:t>
            </w:r>
            <w:r w:rsidR="00BF68C0">
              <w:t>,</w:t>
            </w:r>
            <w:r w:rsidR="00720A5B">
              <w:t xml:space="preserve"> </w:t>
            </w:r>
            <w:r>
              <w:t>or it may be the investigator to whom the matter is allocated)</w:t>
            </w:r>
          </w:p>
          <w:p w14:paraId="2E5D9B2A" w14:textId="2210FEC1" w:rsidR="00736C81" w:rsidRDefault="00736C81" w:rsidP="00833D0C">
            <w:pPr>
              <w:pStyle w:val="notestylebullets"/>
            </w:pPr>
            <w:r>
              <w:t>the expected timeframes for updates from the agency</w:t>
            </w:r>
          </w:p>
          <w:p w14:paraId="65E586EF" w14:textId="78030FB6" w:rsidR="00AF4A82" w:rsidRPr="0093701F" w:rsidRDefault="00736C81" w:rsidP="00833D0C">
            <w:pPr>
              <w:pStyle w:val="notestylebullets"/>
              <w:rPr>
                <w:i/>
              </w:rPr>
            </w:pPr>
            <w:r w:rsidRPr="00E0515B">
              <w:t xml:space="preserve">how the acknowledgment </w:t>
            </w:r>
            <w:r>
              <w:t xml:space="preserve">and updates </w:t>
            </w:r>
            <w:r w:rsidRPr="00E0515B">
              <w:t>will be provided</w:t>
            </w:r>
            <w:r w:rsidR="00571631">
              <w:t>,</w:t>
            </w:r>
            <w:r w:rsidRPr="00291E7A">
              <w:t xml:space="preserve"> </w:t>
            </w:r>
            <w:r w:rsidR="005C6E41">
              <w:t>that is</w:t>
            </w:r>
            <w:r w:rsidRPr="00E0515B">
              <w:t>, by way of secure emai</w:t>
            </w:r>
            <w:r w:rsidRPr="00291E7A">
              <w:t>l, by phone discussions or virtually</w:t>
            </w:r>
            <w:r>
              <w:t xml:space="preserve"> via Teams or another platform</w:t>
            </w:r>
          </w:p>
          <w:p w14:paraId="1879B620" w14:textId="1AA56D42" w:rsidR="00AF4A82" w:rsidRPr="00833509" w:rsidRDefault="0032063D" w:rsidP="00833D0C">
            <w:pPr>
              <w:pStyle w:val="notestylebullets"/>
              <w:rPr>
                <w:i/>
              </w:rPr>
            </w:pPr>
            <w:r>
              <w:t>h</w:t>
            </w:r>
            <w:r w:rsidR="00AF4A82" w:rsidRPr="00833509">
              <w:t xml:space="preserve">ow the agency will engage with the maker of the </w:t>
            </w:r>
            <w:r w:rsidR="00720A5B">
              <w:t>repor</w:t>
            </w:r>
            <w:r w:rsidR="00E85030">
              <w:t>t</w:t>
            </w:r>
            <w:r w:rsidR="00AF4A82" w:rsidRPr="00833509">
              <w:t xml:space="preserve"> to establish whether they are at risk of detrimental action, whether they need support networks to be put in place and how this will be assessed on an ongoing basis.</w:t>
            </w:r>
          </w:p>
          <w:p w14:paraId="10FF82B6" w14:textId="6DA0DE67" w:rsidR="008D7BF8" w:rsidRDefault="008D7BF8" w:rsidP="00833509"/>
        </w:tc>
      </w:tr>
    </w:tbl>
    <w:p w14:paraId="30947E75" w14:textId="2DF2841A" w:rsidR="008D7BF8" w:rsidRPr="00833509" w:rsidRDefault="008D7BF8" w:rsidP="00833509">
      <w:pPr>
        <w:spacing w:after="120"/>
        <w:rPr>
          <w:rFonts w:ascii="Arial" w:hAnsi="Arial" w:cs="Arial"/>
        </w:rPr>
      </w:pPr>
    </w:p>
    <w:p w14:paraId="1CF9EA03" w14:textId="3E6E8B48" w:rsidR="0002300C" w:rsidRPr="00DA1C2A" w:rsidRDefault="00164592" w:rsidP="00164592">
      <w:pPr>
        <w:pStyle w:val="Heading3"/>
        <w:ind w:left="567" w:hanging="567"/>
      </w:pPr>
      <w:bookmarkStart w:id="145" w:name="_Toc136898218"/>
      <w:bookmarkStart w:id="146" w:name="_Toc136898412"/>
      <w:bookmarkStart w:id="147" w:name="_Toc136935892"/>
      <w:bookmarkStart w:id="148" w:name="_Toc137638744"/>
      <w:bookmarkStart w:id="149" w:name="_Toc137638947"/>
      <w:bookmarkStart w:id="150" w:name="_Toc136865176"/>
      <w:bookmarkStart w:id="151" w:name="_Toc136874724"/>
      <w:bookmarkStart w:id="152" w:name="_Toc136898219"/>
      <w:bookmarkStart w:id="153" w:name="_Toc136898413"/>
      <w:bookmarkStart w:id="154" w:name="_Toc136935893"/>
      <w:bookmarkStart w:id="155" w:name="_Toc137638745"/>
      <w:bookmarkStart w:id="156" w:name="_Toc137638948"/>
      <w:bookmarkStart w:id="157" w:name="_Toc140251739"/>
      <w:bookmarkEnd w:id="145"/>
      <w:bookmarkEnd w:id="146"/>
      <w:bookmarkEnd w:id="147"/>
      <w:bookmarkEnd w:id="148"/>
      <w:bookmarkEnd w:id="149"/>
      <w:bookmarkEnd w:id="150"/>
      <w:bookmarkEnd w:id="151"/>
      <w:bookmarkEnd w:id="152"/>
      <w:bookmarkEnd w:id="153"/>
      <w:bookmarkEnd w:id="154"/>
      <w:bookmarkEnd w:id="155"/>
      <w:bookmarkEnd w:id="156"/>
      <w:r>
        <w:t>(b)</w:t>
      </w:r>
      <w:r>
        <w:tab/>
      </w:r>
      <w:r w:rsidR="0002300C" w:rsidRPr="00DA1C2A">
        <w:t xml:space="preserve">How </w:t>
      </w:r>
      <w:r w:rsidR="00CD3964">
        <w:t>[</w:t>
      </w:r>
      <w:r w:rsidR="00047215">
        <w:t>we/</w:t>
      </w:r>
      <w:r w:rsidR="0002300C" w:rsidRPr="00DA1C2A">
        <w:t>agency name] will deal with voluntary PIDs</w:t>
      </w:r>
      <w:bookmarkEnd w:id="157"/>
    </w:p>
    <w:p w14:paraId="438153D0" w14:textId="68554B6B" w:rsidR="00626490" w:rsidRPr="00626490" w:rsidRDefault="0002300C" w:rsidP="00164592">
      <w:pPr>
        <w:pStyle w:val="BodyText"/>
      </w:pPr>
      <w:r w:rsidRPr="0093701F">
        <w:t xml:space="preserve">Once a </w:t>
      </w:r>
      <w:r w:rsidR="00E85030" w:rsidRPr="0093701F">
        <w:t xml:space="preserve">report </w:t>
      </w:r>
      <w:r w:rsidRPr="0093701F">
        <w:t>that may be a voluntary PID is received</w:t>
      </w:r>
      <w:r w:rsidR="00722AB6" w:rsidRPr="0093701F">
        <w:t xml:space="preserve"> </w:t>
      </w:r>
      <w:r w:rsidR="00943943" w:rsidRPr="0093701F">
        <w:t>[</w:t>
      </w:r>
      <w:r w:rsidR="00722AB6" w:rsidRPr="0093701F">
        <w:t>w</w:t>
      </w:r>
      <w:r w:rsidR="00943943" w:rsidRPr="0093701F">
        <w:t>e/agency name] will l</w:t>
      </w:r>
      <w:r w:rsidR="000A54B8" w:rsidRPr="0093701F">
        <w:t xml:space="preserve">ook at the information contained in the </w:t>
      </w:r>
      <w:r w:rsidR="00E85030" w:rsidRPr="0093701F">
        <w:t xml:space="preserve">report </w:t>
      </w:r>
      <w:r w:rsidR="000A54B8" w:rsidRPr="0093701F">
        <w:t>to see if it has the features of a voluntary PID.</w:t>
      </w:r>
      <w:r w:rsidR="00047215" w:rsidRPr="0093701F">
        <w:t xml:space="preserve"> This assessment is undertaken to identify whether the </w:t>
      </w:r>
      <w:r w:rsidR="00E85030" w:rsidRPr="0093701F">
        <w:t>report</w:t>
      </w:r>
      <w:r w:rsidR="00047215" w:rsidRPr="0093701F">
        <w:t xml:space="preserve"> is a voluntary PID or another type of disclosure</w:t>
      </w:r>
      <w:r w:rsidR="00943943" w:rsidRPr="0093701F">
        <w:t>,</w:t>
      </w:r>
      <w:r w:rsidR="00047215" w:rsidRPr="0093701F">
        <w:t xml:space="preserve"> and </w:t>
      </w:r>
      <w:r w:rsidR="00943943" w:rsidRPr="0093701F">
        <w:t xml:space="preserve">to </w:t>
      </w:r>
      <w:r w:rsidR="00047215" w:rsidRPr="0093701F">
        <w:t xml:space="preserve">make sure that the right steps are followed. If it is a voluntary PID, we </w:t>
      </w:r>
      <w:r w:rsidR="00A42F6D" w:rsidRPr="0093701F">
        <w:t>will</w:t>
      </w:r>
      <w:r w:rsidR="00047215" w:rsidRPr="0093701F">
        <w:t xml:space="preserve"> ensure that we comply with the requirements in the PID Act.</w:t>
      </w: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736C81" w14:paraId="6A087B31" w14:textId="77777777" w:rsidTr="00DC6A07">
        <w:trPr>
          <w:trHeight w:val="3818"/>
        </w:trPr>
        <w:tc>
          <w:tcPr>
            <w:tcW w:w="8903" w:type="dxa"/>
            <w:shd w:val="clear" w:color="auto" w:fill="CEDDD4"/>
          </w:tcPr>
          <w:p w14:paraId="4BD25D2E" w14:textId="4640307D" w:rsidR="00736C81" w:rsidRDefault="000A7D1A" w:rsidP="00164592">
            <w:pPr>
              <w:pStyle w:val="Notestyle"/>
            </w:pPr>
            <w:r w:rsidRPr="001036E3">
              <w:rPr>
                <w:b/>
                <w:iCs w:val="0"/>
              </w:rPr>
              <w:lastRenderedPageBreak/>
              <w:t>Guidance</w:t>
            </w:r>
            <w:r w:rsidR="00736C81" w:rsidRPr="001036E3">
              <w:rPr>
                <w:iCs w:val="0"/>
              </w:rPr>
              <w:t>:</w:t>
            </w:r>
            <w:r w:rsidR="00736C81">
              <w:t xml:space="preserve"> </w:t>
            </w:r>
            <w:r w:rsidR="00736C81" w:rsidRPr="00833509">
              <w:t>Under</w:t>
            </w:r>
            <w:r w:rsidR="00337EF3">
              <w:t xml:space="preserve"> section </w:t>
            </w:r>
            <w:r w:rsidR="00736C81" w:rsidRPr="00833509">
              <w:t xml:space="preserve">43(1)(a) of the PID Act, agencies must outline its procedures for dealing with </w:t>
            </w:r>
            <w:r w:rsidR="00E85030">
              <w:t>reports</w:t>
            </w:r>
            <w:r w:rsidR="00E85030" w:rsidRPr="00833509">
              <w:t xml:space="preserve"> </w:t>
            </w:r>
            <w:r w:rsidR="00736C81" w:rsidRPr="00833509">
              <w:t>that are or may be voluntary PIDs</w:t>
            </w:r>
            <w:r w:rsidR="00736C81">
              <w:t>. Agencies should outline what the process will be in the agency once a disclosure officer receives a PID.</w:t>
            </w:r>
          </w:p>
          <w:p w14:paraId="19BA995F" w14:textId="2D80EE3C" w:rsidR="00736C81" w:rsidRDefault="00736C81" w:rsidP="00164592">
            <w:pPr>
              <w:pStyle w:val="Notestyle"/>
            </w:pPr>
            <w:r>
              <w:t xml:space="preserve">Will it continue to be dealt with by that person, or will it be referred to a particular unit within the agency to assess the </w:t>
            </w:r>
            <w:r w:rsidR="00E85030">
              <w:t xml:space="preserve">report </w:t>
            </w:r>
            <w:r>
              <w:t xml:space="preserve">and </w:t>
            </w:r>
            <w:r w:rsidR="00943943">
              <w:t xml:space="preserve">to </w:t>
            </w:r>
            <w:r>
              <w:t>allocate it to a suitable person?</w:t>
            </w:r>
          </w:p>
          <w:p w14:paraId="123D0074" w14:textId="27910A32" w:rsidR="00736C81" w:rsidRDefault="00736C81" w:rsidP="00164592">
            <w:pPr>
              <w:pStyle w:val="Notestyle"/>
            </w:pPr>
            <w:r>
              <w:t>Will the assessment undertaken be quality checked by someone else, such as by someone who works in the legal section?</w:t>
            </w:r>
          </w:p>
          <w:p w14:paraId="497F2444" w14:textId="0240F164" w:rsidR="00736C81" w:rsidRPr="00164592" w:rsidRDefault="00736C81" w:rsidP="00164592">
            <w:pPr>
              <w:pStyle w:val="Notestyle"/>
            </w:pPr>
            <w:r>
              <w:t xml:space="preserve">Outlining this process here will help set the expectations of people who make a </w:t>
            </w:r>
            <w:r w:rsidR="00E85030">
              <w:t xml:space="preserve">report </w:t>
            </w:r>
            <w:r>
              <w:t>as to what they can expect.</w:t>
            </w:r>
          </w:p>
          <w:p w14:paraId="496CB27F" w14:textId="49B777FC" w:rsidR="00736C81" w:rsidRDefault="00736C81" w:rsidP="009D38AC">
            <w:pPr>
              <w:pStyle w:val="notestylebullets"/>
              <w:numPr>
                <w:ilvl w:val="0"/>
                <w:numId w:val="0"/>
              </w:numPr>
              <w:ind w:left="172"/>
            </w:pPr>
            <w:r>
              <w:t xml:space="preserve">Your agency may have a slightly different process if a </w:t>
            </w:r>
            <w:r w:rsidR="00E85030">
              <w:t xml:space="preserve">report </w:t>
            </w:r>
            <w:r>
              <w:t xml:space="preserve">is received by the head of the agency. If this is the case, then this should </w:t>
            </w:r>
            <w:r w:rsidR="00943943">
              <w:t xml:space="preserve">also </w:t>
            </w:r>
            <w:r>
              <w:t>be outlined here.</w:t>
            </w:r>
          </w:p>
        </w:tc>
      </w:tr>
    </w:tbl>
    <w:p w14:paraId="0EE96734" w14:textId="4478541B" w:rsidR="00626490" w:rsidRPr="00164592" w:rsidRDefault="00626490" w:rsidP="00164592">
      <w:pPr>
        <w:pStyle w:val="Heading4"/>
      </w:pPr>
      <w:r w:rsidRPr="00164592">
        <w:t>Report not a voluntary PID</w:t>
      </w:r>
    </w:p>
    <w:p w14:paraId="394DCB66" w14:textId="36545DCB" w:rsidR="00774B08" w:rsidRPr="0093701F" w:rsidRDefault="007E4FAF" w:rsidP="00164592">
      <w:pPr>
        <w:pStyle w:val="BodyText"/>
      </w:pPr>
      <w:r w:rsidRPr="0093701F">
        <w:t xml:space="preserve">Even if the </w:t>
      </w:r>
      <w:r w:rsidR="00E85030" w:rsidRPr="0093701F">
        <w:t>report</w:t>
      </w:r>
      <w:r w:rsidRPr="0093701F">
        <w:t xml:space="preserve"> is not a voluntary PID, it will still need to be dealt with </w:t>
      </w:r>
      <w:r w:rsidR="00C7186D" w:rsidRPr="0093701F">
        <w:t xml:space="preserve">in a manner consistent with our </w:t>
      </w:r>
      <w:r w:rsidR="00CD3964" w:rsidRPr="0093701F">
        <w:t>[</w:t>
      </w:r>
      <w:r w:rsidR="00C7186D" w:rsidRPr="0093701F">
        <w:t>name of relevant internal complaints or grievance handling process</w:t>
      </w:r>
      <w:r w:rsidR="00774B08" w:rsidRPr="0093701F">
        <w:t>]</w:t>
      </w:r>
      <w:r w:rsidR="00625E0B" w:rsidRPr="0093701F">
        <w:t xml:space="preserve"> </w:t>
      </w:r>
      <w:r w:rsidR="005E71FA" w:rsidRPr="0093701F">
        <w:t xml:space="preserve">or </w:t>
      </w:r>
      <w:r w:rsidR="00625E0B" w:rsidRPr="0093701F">
        <w:t>through an alternate process</w:t>
      </w:r>
      <w:r w:rsidR="00774B08" w:rsidRPr="0093701F">
        <w:t>.</w:t>
      </w:r>
    </w:p>
    <w:p w14:paraId="59ACAA5A" w14:textId="38C33064" w:rsidR="000A54B8" w:rsidRPr="0093701F" w:rsidRDefault="000A54B8" w:rsidP="00164592">
      <w:pPr>
        <w:pStyle w:val="BodyText"/>
      </w:pPr>
      <w:r w:rsidRPr="0093701F">
        <w:t xml:space="preserve">If the </w:t>
      </w:r>
      <w:r w:rsidR="00E85030" w:rsidRPr="0093701F">
        <w:t>report</w:t>
      </w:r>
      <w:r w:rsidR="00774B08" w:rsidRPr="0093701F">
        <w:t xml:space="preserve"> is not a voluntary PID, we will let </w:t>
      </w:r>
      <w:r w:rsidR="009D499B" w:rsidRPr="0093701F">
        <w:t>you</w:t>
      </w:r>
      <w:r w:rsidR="00774B08" w:rsidRPr="0093701F">
        <w:t xml:space="preserve"> know</w:t>
      </w:r>
      <w:r w:rsidR="00625E0B" w:rsidRPr="0093701F">
        <w:t xml:space="preserve"> </w:t>
      </w:r>
      <w:r w:rsidR="00626490">
        <w:t xml:space="preserve">that </w:t>
      </w:r>
      <w:r w:rsidR="00625E0B" w:rsidRPr="0093701F">
        <w:t xml:space="preserve">the </w:t>
      </w:r>
      <w:r w:rsidRPr="0093701F">
        <w:t>PID Act does</w:t>
      </w:r>
      <w:r w:rsidR="003B5571" w:rsidRPr="0093701F">
        <w:t xml:space="preserve"> </w:t>
      </w:r>
      <w:r w:rsidRPr="0093701F">
        <w:t>n</w:t>
      </w:r>
      <w:r w:rsidR="003B5571" w:rsidRPr="0093701F">
        <w:t>o</w:t>
      </w:r>
      <w:r w:rsidRPr="0093701F">
        <w:t>t apply</w:t>
      </w:r>
      <w:r w:rsidR="00635001" w:rsidRPr="0093701F">
        <w:t xml:space="preserve"> to </w:t>
      </w:r>
      <w:r w:rsidR="00625E0B" w:rsidRPr="0093701F">
        <w:t>the</w:t>
      </w:r>
      <w:r w:rsidR="00635001" w:rsidRPr="0093701F">
        <w:t xml:space="preserve"> </w:t>
      </w:r>
      <w:r w:rsidR="00374493" w:rsidRPr="0093701F">
        <w:t xml:space="preserve">report </w:t>
      </w:r>
      <w:r w:rsidR="00625E0B" w:rsidRPr="0093701F">
        <w:t xml:space="preserve">and how we will deal with the concerns raised in the </w:t>
      </w:r>
      <w:r w:rsidR="00E85030" w:rsidRPr="0093701F">
        <w:t>report</w:t>
      </w:r>
      <w:r w:rsidR="00625E0B" w:rsidRPr="0093701F">
        <w:t>.</w:t>
      </w:r>
    </w:p>
    <w:p w14:paraId="5568B080" w14:textId="3C55DE2A" w:rsidR="003A68B3" w:rsidRPr="00343E3D" w:rsidRDefault="00625E0B" w:rsidP="00164592">
      <w:pPr>
        <w:pStyle w:val="BodyText"/>
      </w:pPr>
      <w:r w:rsidRPr="0093701F">
        <w:t xml:space="preserve">If </w:t>
      </w:r>
      <w:r w:rsidR="0015709B" w:rsidRPr="0093701F">
        <w:t>you are</w:t>
      </w:r>
      <w:r w:rsidRPr="0093701F">
        <w:t xml:space="preserve"> not happy with this </w:t>
      </w:r>
      <w:r w:rsidR="00BF39B9" w:rsidRPr="0093701F">
        <w:t xml:space="preserve">assessment or otherwise disagree with it, </w:t>
      </w:r>
      <w:r w:rsidR="0015709B" w:rsidRPr="0093701F">
        <w:t>you</w:t>
      </w:r>
      <w:r w:rsidR="00BF39B9" w:rsidRPr="0093701F">
        <w:t xml:space="preserve"> can raise it with the person who has communicated the outcome with </w:t>
      </w:r>
      <w:r w:rsidR="0015709B" w:rsidRPr="0093701F">
        <w:t>you</w:t>
      </w:r>
      <w:r w:rsidR="00BF39B9" w:rsidRPr="0093701F">
        <w:t xml:space="preserve"> or a disclosure officer, request an internal review or </w:t>
      </w:r>
      <w:r w:rsidR="00881B25" w:rsidRPr="0093701F">
        <w:t xml:space="preserve">request that the matter be conciliated. </w:t>
      </w:r>
      <w:r w:rsidR="00CD3964" w:rsidRPr="0093701F">
        <w:t>[</w:t>
      </w:r>
      <w:r w:rsidR="00626490">
        <w:t>W</w:t>
      </w:r>
      <w:r w:rsidR="00240D7F" w:rsidRPr="0093701F">
        <w:t>e/agency name] can, but do not have to, request the NSW Ombudsman to conciliate the matter.</w:t>
      </w: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8C7D9F" w14:paraId="4CB50EF7" w14:textId="77777777" w:rsidTr="00DC6A07">
        <w:trPr>
          <w:trHeight w:val="1215"/>
        </w:trPr>
        <w:tc>
          <w:tcPr>
            <w:tcW w:w="9065" w:type="dxa"/>
            <w:shd w:val="clear" w:color="auto" w:fill="CEDDD4"/>
          </w:tcPr>
          <w:p w14:paraId="7B281B87" w14:textId="38F03F6D" w:rsidR="008C7D9F" w:rsidRDefault="000A7D1A" w:rsidP="00164592">
            <w:pPr>
              <w:pStyle w:val="Notestyle"/>
            </w:pPr>
            <w:r w:rsidRPr="001036E3">
              <w:rPr>
                <w:b/>
                <w:iCs w:val="0"/>
              </w:rPr>
              <w:t>Guidance</w:t>
            </w:r>
            <w:r w:rsidR="008C7D9F" w:rsidRPr="001036E3">
              <w:rPr>
                <w:iCs w:val="0"/>
              </w:rPr>
              <w:t>:</w:t>
            </w:r>
            <w:r w:rsidR="008C7D9F">
              <w:t xml:space="preserve"> </w:t>
            </w:r>
            <w:r w:rsidR="008C7D9F" w:rsidRPr="00DE2B0F">
              <w:t>Agencies should explain</w:t>
            </w:r>
            <w:r w:rsidR="008C7D9F">
              <w:t xml:space="preserve"> where the report will be referred and what supports will be offered. Agencies should also outline any specific processes/documents they have in relation to internal reviews and raising concerns about the assessment of a </w:t>
            </w:r>
            <w:r w:rsidR="00E85030">
              <w:t>report</w:t>
            </w:r>
            <w:r w:rsidR="008C7D9F">
              <w:t xml:space="preserve">. </w:t>
            </w:r>
          </w:p>
        </w:tc>
      </w:tr>
    </w:tbl>
    <w:p w14:paraId="1DBF2A79" w14:textId="4B3F0245" w:rsidR="00626490" w:rsidRDefault="00996A1F" w:rsidP="0093701F">
      <w:pPr>
        <w:pStyle w:val="Heading4"/>
      </w:pPr>
      <w:r>
        <w:t>Cease dealing with report as voluntary PID</w:t>
      </w:r>
    </w:p>
    <w:p w14:paraId="0C3D46A0" w14:textId="3D2A605A" w:rsidR="003A68B3" w:rsidRPr="0093701F" w:rsidRDefault="00DA3F60" w:rsidP="00164592">
      <w:pPr>
        <w:pStyle w:val="BodyText"/>
      </w:pPr>
      <w:r w:rsidRPr="0093701F">
        <w:t>[</w:t>
      </w:r>
      <w:r w:rsidR="006F4C7D" w:rsidRPr="0093701F">
        <w:t>We/</w:t>
      </w:r>
      <w:r w:rsidRPr="0093701F">
        <w:t>agency name] may stop dealing with a voluntary PID because it is not actually a voluntary PID (meaning it does not have all the features of a PID)</w:t>
      </w:r>
      <w:r w:rsidR="006A338E" w:rsidRPr="0093701F">
        <w:t>.</w:t>
      </w: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343E3D" w14:paraId="10215E08" w14:textId="77777777" w:rsidTr="00DC6A07">
        <w:trPr>
          <w:trHeight w:val="2710"/>
        </w:trPr>
        <w:tc>
          <w:tcPr>
            <w:tcW w:w="9065" w:type="dxa"/>
            <w:shd w:val="clear" w:color="auto" w:fill="CEDDD4"/>
          </w:tcPr>
          <w:p w14:paraId="48869BD1" w14:textId="4FDC80E9" w:rsidR="00343E3D" w:rsidRDefault="000A7D1A" w:rsidP="00164592">
            <w:pPr>
              <w:pStyle w:val="Notestyle"/>
            </w:pPr>
            <w:r w:rsidRPr="001036E3">
              <w:rPr>
                <w:b/>
                <w:iCs w:val="0"/>
              </w:rPr>
              <w:t>Guidance</w:t>
            </w:r>
            <w:r w:rsidR="00343E3D" w:rsidRPr="001036E3">
              <w:rPr>
                <w:iCs w:val="0"/>
              </w:rPr>
              <w:t>:</w:t>
            </w:r>
            <w:r w:rsidR="00343E3D">
              <w:t xml:space="preserve"> Agencies should include the procedure they will follow when advising the maker of a </w:t>
            </w:r>
            <w:r w:rsidR="00E85030">
              <w:t xml:space="preserve">report </w:t>
            </w:r>
            <w:r w:rsidR="00343E3D">
              <w:t xml:space="preserve">that they have ceased dealing with the </w:t>
            </w:r>
            <w:r w:rsidR="00E85030">
              <w:t xml:space="preserve">report </w:t>
            </w:r>
            <w:r w:rsidR="00343E3D">
              <w:t xml:space="preserve">as a voluntary PID. </w:t>
            </w:r>
          </w:p>
          <w:p w14:paraId="6F1487CD" w14:textId="4814CC3A" w:rsidR="00343E3D" w:rsidRDefault="00343E3D" w:rsidP="00164592">
            <w:pPr>
              <w:pStyle w:val="Notestyle"/>
            </w:pPr>
            <w:r>
              <w:t xml:space="preserve">The PID Act states that agencies must provide reasons to the maker of a purported PID if the agency has ceased dealing with the </w:t>
            </w:r>
            <w:r w:rsidR="00E85030">
              <w:t xml:space="preserve">report </w:t>
            </w:r>
            <w:r>
              <w:t xml:space="preserve">as a voluntary PID. A purported PID is one that is made to one of the recipients of voluntary PIDs set out in the </w:t>
            </w:r>
            <w:r w:rsidR="007674B5">
              <w:t xml:space="preserve">PID </w:t>
            </w:r>
            <w:r>
              <w:t>Act, and</w:t>
            </w:r>
            <w:r w:rsidR="007674B5">
              <w:t xml:space="preserve"> it</w:t>
            </w:r>
            <w:r>
              <w:t xml:space="preserve"> is not a witness or mandatory PID and the maker has stated it is a voluntary PID. </w:t>
            </w:r>
          </w:p>
          <w:p w14:paraId="3FF0B375" w14:textId="479CC300" w:rsidR="00343E3D" w:rsidRDefault="00343E3D" w:rsidP="00164592">
            <w:pPr>
              <w:pStyle w:val="Notestyle"/>
            </w:pPr>
            <w:r>
              <w:t xml:space="preserve">It is best practice to always notify makers of </w:t>
            </w:r>
            <w:r w:rsidR="00E85030">
              <w:t xml:space="preserve">reports </w:t>
            </w:r>
            <w:r>
              <w:t>that an agency has ceased to deal with their matter as a voluntary PID.</w:t>
            </w:r>
          </w:p>
        </w:tc>
      </w:tr>
    </w:tbl>
    <w:p w14:paraId="68FEC3CC" w14:textId="77777777" w:rsidR="008F0FA9" w:rsidRDefault="008F0FA9" w:rsidP="00164592">
      <w:pPr>
        <w:pStyle w:val="Heading4"/>
      </w:pPr>
    </w:p>
    <w:p w14:paraId="0CE88028" w14:textId="6AEEDF70" w:rsidR="00D95A34" w:rsidRPr="00164592" w:rsidRDefault="00626490" w:rsidP="00164592">
      <w:pPr>
        <w:pStyle w:val="Heading4"/>
      </w:pPr>
      <w:r w:rsidRPr="00164592">
        <w:t>Where the report is a voluntary PID</w:t>
      </w:r>
    </w:p>
    <w:p w14:paraId="7DC6BE9B" w14:textId="65BB4021" w:rsidR="00CB248C" w:rsidRPr="0093701F" w:rsidRDefault="0002300C" w:rsidP="00164592">
      <w:pPr>
        <w:pStyle w:val="BodyText"/>
      </w:pPr>
      <w:r w:rsidRPr="0093701F">
        <w:t xml:space="preserve">If </w:t>
      </w:r>
      <w:r w:rsidR="000A54B8" w:rsidRPr="0093701F">
        <w:t xml:space="preserve">the </w:t>
      </w:r>
      <w:r w:rsidR="00E85030" w:rsidRPr="0093701F">
        <w:t xml:space="preserve">report </w:t>
      </w:r>
      <w:r w:rsidRPr="0093701F">
        <w:t>is a voluntary PID</w:t>
      </w:r>
      <w:r w:rsidR="0028067D" w:rsidRPr="0093701F">
        <w:t>:</w:t>
      </w:r>
    </w:p>
    <w:p w14:paraId="19443E73" w14:textId="619F1FDD" w:rsidR="00CD5AC1" w:rsidRPr="00164592" w:rsidRDefault="004D4F9B" w:rsidP="00164592">
      <w:pPr>
        <w:pStyle w:val="ListParagraph"/>
        <w:rPr>
          <w:rFonts w:ascii="Calibri" w:hAnsi="Calibri" w:cs="Calibri"/>
        </w:rPr>
      </w:pPr>
      <w:r w:rsidRPr="00164592">
        <w:rPr>
          <w:rFonts w:ascii="Calibri" w:hAnsi="Calibri" w:cs="Calibri"/>
        </w:rPr>
        <w:t xml:space="preserve">In most cases we will </w:t>
      </w:r>
      <w:proofErr w:type="gramStart"/>
      <w:r w:rsidRPr="00164592">
        <w:rPr>
          <w:rFonts w:ascii="Calibri" w:hAnsi="Calibri" w:cs="Calibri"/>
        </w:rPr>
        <w:t>conduct an investigation</w:t>
      </w:r>
      <w:proofErr w:type="gramEnd"/>
      <w:r w:rsidRPr="00164592">
        <w:rPr>
          <w:rFonts w:ascii="Calibri" w:hAnsi="Calibri" w:cs="Calibri"/>
        </w:rPr>
        <w:t xml:space="preserve"> to </w:t>
      </w:r>
      <w:r w:rsidR="00CD5AC1" w:rsidRPr="00164592">
        <w:rPr>
          <w:rFonts w:ascii="Calibri" w:hAnsi="Calibri" w:cs="Calibri"/>
        </w:rPr>
        <w:t xml:space="preserve">make findings </w:t>
      </w:r>
      <w:r w:rsidR="002D2826" w:rsidRPr="00164592">
        <w:rPr>
          <w:rFonts w:ascii="Calibri" w:hAnsi="Calibri" w:cs="Calibri"/>
        </w:rPr>
        <w:t>about whether</w:t>
      </w:r>
      <w:r w:rsidRPr="00164592">
        <w:rPr>
          <w:rFonts w:ascii="Calibri" w:hAnsi="Calibri" w:cs="Calibri"/>
        </w:rPr>
        <w:t xml:space="preserve"> the serious wrongdoing disclosed in the report occurred, who was involved</w:t>
      </w:r>
      <w:r w:rsidR="00CD5AC1" w:rsidRPr="00164592">
        <w:rPr>
          <w:rFonts w:ascii="Calibri" w:hAnsi="Calibri" w:cs="Calibri"/>
        </w:rPr>
        <w:t>, who was responsible</w:t>
      </w:r>
      <w:r w:rsidR="004F74BD" w:rsidRPr="00164592">
        <w:rPr>
          <w:rFonts w:ascii="Calibri" w:hAnsi="Calibri" w:cs="Calibri"/>
        </w:rPr>
        <w:t>,</w:t>
      </w:r>
      <w:r w:rsidR="00CD5AC1" w:rsidRPr="00164592">
        <w:rPr>
          <w:rFonts w:ascii="Calibri" w:hAnsi="Calibri" w:cs="Calibri"/>
        </w:rPr>
        <w:t xml:space="preserve"> and whether the people involved</w:t>
      </w:r>
      <w:r w:rsidR="00790025" w:rsidRPr="00164592">
        <w:rPr>
          <w:rFonts w:ascii="Calibri" w:hAnsi="Calibri" w:cs="Calibri"/>
        </w:rPr>
        <w:t>,</w:t>
      </w:r>
      <w:r w:rsidR="00CD5AC1" w:rsidRPr="00164592">
        <w:rPr>
          <w:rFonts w:ascii="Calibri" w:hAnsi="Calibri" w:cs="Calibri"/>
        </w:rPr>
        <w:t xml:space="preserve"> or the agency engaged</w:t>
      </w:r>
      <w:r w:rsidR="00790025" w:rsidRPr="00164592">
        <w:rPr>
          <w:rFonts w:ascii="Calibri" w:hAnsi="Calibri" w:cs="Calibri"/>
        </w:rPr>
        <w:t>,</w:t>
      </w:r>
      <w:r w:rsidR="00CD5AC1" w:rsidRPr="00164592">
        <w:rPr>
          <w:rFonts w:ascii="Calibri" w:hAnsi="Calibri" w:cs="Calibri"/>
        </w:rPr>
        <w:t xml:space="preserve"> in serious wrongdoing. There may be circumstances where we believe an investigation is not warranted </w:t>
      </w:r>
      <w:r w:rsidR="00337EF3" w:rsidRPr="00164592">
        <w:rPr>
          <w:rFonts w:ascii="Calibri" w:hAnsi="Calibri" w:cs="Calibri"/>
        </w:rPr>
        <w:t>—</w:t>
      </w:r>
      <w:r w:rsidR="00CD5AC1" w:rsidRPr="00164592">
        <w:rPr>
          <w:rFonts w:ascii="Calibri" w:hAnsi="Calibri" w:cs="Calibri"/>
        </w:rPr>
        <w:t xml:space="preserve"> for example</w:t>
      </w:r>
      <w:r w:rsidR="00790025" w:rsidRPr="00164592">
        <w:rPr>
          <w:rFonts w:ascii="Calibri" w:hAnsi="Calibri" w:cs="Calibri"/>
        </w:rPr>
        <w:t>,</w:t>
      </w:r>
      <w:r w:rsidR="00CD5AC1" w:rsidRPr="00164592">
        <w:rPr>
          <w:rFonts w:ascii="Calibri" w:hAnsi="Calibri" w:cs="Calibri"/>
        </w:rPr>
        <w:t xml:space="preserve"> if the conduct has previously been investigated.</w:t>
      </w:r>
    </w:p>
    <w:p w14:paraId="2036EF90" w14:textId="61FA6A8E" w:rsidR="0094148E" w:rsidRPr="00164592" w:rsidRDefault="00847DB4" w:rsidP="00164592">
      <w:pPr>
        <w:pStyle w:val="ListParagraph"/>
        <w:rPr>
          <w:rFonts w:ascii="Calibri" w:hAnsi="Calibri" w:cs="Calibri"/>
        </w:rPr>
      </w:pPr>
      <w:r w:rsidRPr="00164592">
        <w:rPr>
          <w:rFonts w:ascii="Calibri" w:hAnsi="Calibri" w:cs="Calibri"/>
        </w:rPr>
        <w:t xml:space="preserve">There may also be circumstances where we decide that the </w:t>
      </w:r>
      <w:r w:rsidR="00E85030" w:rsidRPr="00164592">
        <w:rPr>
          <w:rFonts w:ascii="Calibri" w:hAnsi="Calibri" w:cs="Calibri"/>
        </w:rPr>
        <w:t>report</w:t>
      </w:r>
      <w:r w:rsidRPr="00164592">
        <w:rPr>
          <w:rFonts w:ascii="Calibri" w:hAnsi="Calibri" w:cs="Calibri"/>
        </w:rPr>
        <w:t xml:space="preserve"> should be referred to another agency, such as an integrity agency</w:t>
      </w:r>
      <w:r w:rsidR="0068510B" w:rsidRPr="00164592">
        <w:rPr>
          <w:rFonts w:ascii="Calibri" w:hAnsi="Calibri" w:cs="Calibri"/>
        </w:rPr>
        <w:t>.</w:t>
      </w:r>
      <w:r w:rsidR="00B14106" w:rsidRPr="00164592">
        <w:rPr>
          <w:rFonts w:ascii="Calibri" w:hAnsi="Calibri" w:cs="Calibri"/>
        </w:rPr>
        <w:t xml:space="preserve"> For example, r</w:t>
      </w:r>
      <w:r w:rsidR="0094148E" w:rsidRPr="00164592">
        <w:rPr>
          <w:rFonts w:ascii="Calibri" w:hAnsi="Calibri" w:cs="Calibri"/>
        </w:rPr>
        <w:t>eports concerning possible corrupt conduct may be required to be reported to the ICAC in accordance with</w:t>
      </w:r>
      <w:r w:rsidR="00337EF3" w:rsidRPr="00164592">
        <w:rPr>
          <w:rFonts w:ascii="Calibri" w:hAnsi="Calibri" w:cs="Calibri"/>
        </w:rPr>
        <w:t xml:space="preserve"> section </w:t>
      </w:r>
      <w:r w:rsidR="0094148E" w:rsidRPr="00164592">
        <w:rPr>
          <w:rFonts w:ascii="Calibri" w:hAnsi="Calibri" w:cs="Calibri"/>
        </w:rPr>
        <w:t xml:space="preserve">11 of the </w:t>
      </w:r>
      <w:r w:rsidR="0094148E" w:rsidRPr="00164592">
        <w:rPr>
          <w:rFonts w:ascii="Calibri" w:hAnsi="Calibri" w:cs="Calibri"/>
          <w:i/>
          <w:iCs/>
        </w:rPr>
        <w:t>Independent Commission Against Corruption Act</w:t>
      </w:r>
      <w:r w:rsidR="0094148E" w:rsidRPr="00164592">
        <w:rPr>
          <w:rFonts w:ascii="Calibri" w:hAnsi="Calibri" w:cs="Calibri"/>
        </w:rPr>
        <w:t xml:space="preserve"> </w:t>
      </w:r>
      <w:r w:rsidR="0094148E" w:rsidRPr="00164592">
        <w:rPr>
          <w:rFonts w:ascii="Calibri" w:hAnsi="Calibri" w:cs="Calibri"/>
          <w:i/>
          <w:iCs/>
        </w:rPr>
        <w:t>1988</w:t>
      </w:r>
      <w:r w:rsidR="0094148E" w:rsidRPr="00164592">
        <w:rPr>
          <w:rFonts w:ascii="Calibri" w:hAnsi="Calibri" w:cs="Calibri"/>
        </w:rPr>
        <w:t>.</w:t>
      </w:r>
    </w:p>
    <w:p w14:paraId="2852D23C" w14:textId="5ED6AA51" w:rsidR="00642A4A" w:rsidRPr="00164592" w:rsidRDefault="0054722C" w:rsidP="00164592">
      <w:pPr>
        <w:pStyle w:val="ListParagraph"/>
        <w:rPr>
          <w:rFonts w:ascii="Calibri" w:hAnsi="Calibri" w:cs="Calibri"/>
        </w:rPr>
      </w:pPr>
      <w:r w:rsidRPr="00164592">
        <w:rPr>
          <w:rFonts w:ascii="Calibri" w:hAnsi="Calibri" w:cs="Calibri"/>
        </w:rPr>
        <w:t>Before referring a matter, we will discuss the referral with the other agency</w:t>
      </w:r>
      <w:r w:rsidR="00790025" w:rsidRPr="00164592">
        <w:rPr>
          <w:rFonts w:ascii="Calibri" w:hAnsi="Calibri" w:cs="Calibri"/>
        </w:rPr>
        <w:t>,</w:t>
      </w:r>
      <w:r w:rsidRPr="00164592">
        <w:rPr>
          <w:rFonts w:ascii="Calibri" w:hAnsi="Calibri" w:cs="Calibri"/>
        </w:rPr>
        <w:t xml:space="preserve"> and we will </w:t>
      </w:r>
      <w:r w:rsidR="00642A4A" w:rsidRPr="00164592">
        <w:rPr>
          <w:rFonts w:ascii="Calibri" w:hAnsi="Calibri" w:cs="Calibri"/>
        </w:rPr>
        <w:t>provide</w:t>
      </w:r>
      <w:r w:rsidRPr="00164592">
        <w:rPr>
          <w:rFonts w:ascii="Calibri" w:hAnsi="Calibri" w:cs="Calibri"/>
        </w:rPr>
        <w:t xml:space="preserve"> </w:t>
      </w:r>
      <w:r w:rsidR="00382FAB" w:rsidRPr="00164592">
        <w:rPr>
          <w:rFonts w:ascii="Calibri" w:hAnsi="Calibri" w:cs="Calibri"/>
        </w:rPr>
        <w:t>you</w:t>
      </w:r>
      <w:r w:rsidRPr="00164592">
        <w:rPr>
          <w:rFonts w:ascii="Calibri" w:hAnsi="Calibri" w:cs="Calibri"/>
        </w:rPr>
        <w:t xml:space="preserve"> with details of the referral and a contact person within the other agency.</w:t>
      </w:r>
    </w:p>
    <w:p w14:paraId="568AF4ED" w14:textId="3FF5A0A8" w:rsidR="00343E3D" w:rsidRDefault="00FD4762" w:rsidP="00164592">
      <w:pPr>
        <w:pStyle w:val="ListParagraph"/>
        <w:rPr>
          <w:rFonts w:ascii="Calibri" w:hAnsi="Calibri" w:cs="Calibri"/>
        </w:rPr>
      </w:pPr>
      <w:r w:rsidRPr="00164592">
        <w:rPr>
          <w:rFonts w:ascii="Calibri" w:hAnsi="Calibri" w:cs="Calibri"/>
        </w:rPr>
        <w:t xml:space="preserve">If we decide not to investigate a </w:t>
      </w:r>
      <w:r w:rsidR="00E85030" w:rsidRPr="00164592">
        <w:rPr>
          <w:rFonts w:ascii="Calibri" w:hAnsi="Calibri" w:cs="Calibri"/>
        </w:rPr>
        <w:t xml:space="preserve">report </w:t>
      </w:r>
      <w:r w:rsidRPr="00164592">
        <w:rPr>
          <w:rFonts w:ascii="Calibri" w:hAnsi="Calibri" w:cs="Calibri"/>
        </w:rPr>
        <w:t xml:space="preserve">and </w:t>
      </w:r>
      <w:r w:rsidR="008C2479">
        <w:rPr>
          <w:rFonts w:ascii="Calibri" w:hAnsi="Calibri" w:cs="Calibri"/>
        </w:rPr>
        <w:t xml:space="preserve">to </w:t>
      </w:r>
      <w:r w:rsidR="00000379" w:rsidRPr="00164592">
        <w:rPr>
          <w:rFonts w:ascii="Calibri" w:hAnsi="Calibri" w:cs="Calibri"/>
        </w:rPr>
        <w:t>no</w:t>
      </w:r>
      <w:r w:rsidR="008C2479">
        <w:rPr>
          <w:rFonts w:ascii="Calibri" w:hAnsi="Calibri" w:cs="Calibri"/>
        </w:rPr>
        <w:t>t</w:t>
      </w:r>
      <w:r w:rsidR="00000379" w:rsidRPr="00164592">
        <w:rPr>
          <w:rFonts w:ascii="Calibri" w:hAnsi="Calibri" w:cs="Calibri"/>
        </w:rPr>
        <w:t xml:space="preserve"> </w:t>
      </w:r>
      <w:r w:rsidRPr="00164592">
        <w:rPr>
          <w:rFonts w:ascii="Calibri" w:hAnsi="Calibri" w:cs="Calibri"/>
        </w:rPr>
        <w:t xml:space="preserve">refer the matter to another agency, we must let </w:t>
      </w:r>
      <w:r w:rsidR="00382FAB" w:rsidRPr="00164592">
        <w:rPr>
          <w:rFonts w:ascii="Calibri" w:hAnsi="Calibri" w:cs="Calibri"/>
        </w:rPr>
        <w:t>you</w:t>
      </w:r>
      <w:r w:rsidR="00642A4A" w:rsidRPr="00164592">
        <w:rPr>
          <w:rFonts w:ascii="Calibri" w:hAnsi="Calibri" w:cs="Calibri"/>
        </w:rPr>
        <w:t xml:space="preserve"> know</w:t>
      </w:r>
      <w:r w:rsidRPr="00164592">
        <w:rPr>
          <w:rFonts w:ascii="Calibri" w:hAnsi="Calibri" w:cs="Calibri"/>
        </w:rPr>
        <w:t xml:space="preserve"> the reasons for this and notify the NSW Ombudsman.</w:t>
      </w:r>
    </w:p>
    <w:p w14:paraId="0BE2CA6E" w14:textId="77777777" w:rsidR="001E1B45" w:rsidRPr="001E1B45" w:rsidRDefault="001E1B45" w:rsidP="001E1B45">
      <w:pPr>
        <w:pStyle w:val="ListParagraph"/>
        <w:numPr>
          <w:ilvl w:val="0"/>
          <w:numId w:val="0"/>
        </w:numPr>
        <w:ind w:left="567"/>
        <w:rPr>
          <w:rFonts w:ascii="Calibri" w:hAnsi="Calibri" w:cs="Calibri"/>
        </w:rPr>
      </w:pP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343E3D" w14:paraId="329323CF" w14:textId="77777777" w:rsidTr="00DC6A07">
        <w:trPr>
          <w:trHeight w:val="2176"/>
        </w:trPr>
        <w:tc>
          <w:tcPr>
            <w:tcW w:w="9065" w:type="dxa"/>
            <w:shd w:val="clear" w:color="auto" w:fill="CEDDD4"/>
          </w:tcPr>
          <w:p w14:paraId="337A268A" w14:textId="67651BDF" w:rsidR="00343E3D" w:rsidRDefault="000A7D1A" w:rsidP="00164592">
            <w:pPr>
              <w:pStyle w:val="Notestyle"/>
            </w:pPr>
            <w:r w:rsidRPr="001036E3">
              <w:rPr>
                <w:b/>
                <w:iCs w:val="0"/>
              </w:rPr>
              <w:t>Guidance</w:t>
            </w:r>
            <w:r w:rsidR="00343E3D" w:rsidRPr="001036E3">
              <w:rPr>
                <w:iCs w:val="0"/>
              </w:rPr>
              <w:t>:</w:t>
            </w:r>
            <w:r w:rsidR="00343E3D" w:rsidRPr="00571631">
              <w:t xml:space="preserve"> </w:t>
            </w:r>
            <w:r w:rsidR="00343E3D">
              <w:t xml:space="preserve">If an agency typically appoints an external investigator, the process for this should be outlined here. This should include who will continue to maintain contact with the maker of the </w:t>
            </w:r>
            <w:r w:rsidR="00E85030">
              <w:t>report</w:t>
            </w:r>
            <w:r w:rsidR="00343E3D">
              <w:t>.</w:t>
            </w:r>
          </w:p>
          <w:p w14:paraId="444BFF6F" w14:textId="7FA98454" w:rsidR="00343E3D" w:rsidRPr="00833509" w:rsidRDefault="00343E3D" w:rsidP="00DC6A07">
            <w:pPr>
              <w:pStyle w:val="Notestyle"/>
            </w:pPr>
            <w:r>
              <w:t xml:space="preserve">If an agency has a particular process for determining which matters will go down an investigation pathway, this should be mentioned here so that the expectations of the makers of </w:t>
            </w:r>
            <w:r w:rsidR="00E85030">
              <w:t xml:space="preserve">reports </w:t>
            </w:r>
            <w:r>
              <w:t>are set from the beginning.</w:t>
            </w:r>
          </w:p>
        </w:tc>
      </w:tr>
    </w:tbl>
    <w:p w14:paraId="5FCB666E" w14:textId="3990E820" w:rsidR="00ED629D" w:rsidRPr="00FD4762" w:rsidRDefault="00ED629D" w:rsidP="002D2826"/>
    <w:p w14:paraId="675825B2" w14:textId="5A5FE5AD" w:rsidR="001E47A1" w:rsidRPr="00AC13A0" w:rsidRDefault="000A54B8" w:rsidP="00E3369E">
      <w:pPr>
        <w:pStyle w:val="Heading3"/>
        <w:numPr>
          <w:ilvl w:val="0"/>
          <w:numId w:val="17"/>
        </w:numPr>
        <w:ind w:left="567" w:hanging="567"/>
      </w:pPr>
      <w:bookmarkStart w:id="158" w:name="_Toc140251740"/>
      <w:r w:rsidRPr="00AC13A0">
        <w:t xml:space="preserve">How </w:t>
      </w:r>
      <w:r w:rsidR="00CD3964">
        <w:t>[</w:t>
      </w:r>
      <w:r w:rsidR="00E8136E">
        <w:t>we/</w:t>
      </w:r>
      <w:r w:rsidR="001E47A1" w:rsidRPr="00AC13A0">
        <w:t>agency name] will</w:t>
      </w:r>
      <w:r w:rsidRPr="00AC13A0">
        <w:t xml:space="preserve"> protect </w:t>
      </w:r>
      <w:r w:rsidR="00E8136E">
        <w:t xml:space="preserve">the confidentiality of the maker of a </w:t>
      </w:r>
      <w:r w:rsidR="001E47A1" w:rsidRPr="00AC13A0">
        <w:t>voluntary PID</w:t>
      </w:r>
      <w:bookmarkEnd w:id="158"/>
    </w:p>
    <w:p w14:paraId="6874041C" w14:textId="5F22C196" w:rsidR="00BD442B" w:rsidRDefault="00C80F87" w:rsidP="0024241C">
      <w:pPr>
        <w:pStyle w:val="BodyText"/>
      </w:pPr>
      <w:r>
        <w:t>We understand</w:t>
      </w:r>
      <w:r w:rsidR="0001716E">
        <w:t xml:space="preserve"> </w:t>
      </w:r>
      <w:r w:rsidR="00B50B82">
        <w:t xml:space="preserve">that people who make voluntary PIDs </w:t>
      </w:r>
      <w:r w:rsidR="00DD6493">
        <w:t xml:space="preserve">may want their identity and the fact that they have made a </w:t>
      </w:r>
      <w:r w:rsidR="00374493">
        <w:t xml:space="preserve">report </w:t>
      </w:r>
      <w:r w:rsidR="00114E6C">
        <w:t xml:space="preserve">to be </w:t>
      </w:r>
      <w:r w:rsidR="00DD6493">
        <w:t>confidential.</w:t>
      </w:r>
    </w:p>
    <w:p w14:paraId="329B8BF0" w14:textId="4131CDAF" w:rsidR="002B2814" w:rsidRDefault="002B2814" w:rsidP="0024241C">
      <w:pPr>
        <w:pStyle w:val="BodyText"/>
      </w:pPr>
      <w:r w:rsidRPr="000A7D1A">
        <w:t>Under the PID Act</w:t>
      </w:r>
      <w:r w:rsidR="00176D72" w:rsidRPr="000A7D1A">
        <w:t xml:space="preserve">, information </w:t>
      </w:r>
      <w:r w:rsidR="001B7689" w:rsidRPr="000A7D1A">
        <w:t xml:space="preserve">tending to identify a person as the maker of a voluntary </w:t>
      </w:r>
      <w:r w:rsidR="00E47A4C" w:rsidRPr="000A7D1A">
        <w:t xml:space="preserve">PID </w:t>
      </w:r>
      <w:r w:rsidR="001B7689" w:rsidRPr="000A7D1A">
        <w:t>(</w:t>
      </w:r>
      <w:r w:rsidR="00E47A4C" w:rsidRPr="00833509">
        <w:t xml:space="preserve">known as </w:t>
      </w:r>
      <w:r w:rsidR="001B7689" w:rsidRPr="00833509">
        <w:t>identifying information</w:t>
      </w:r>
      <w:r w:rsidR="001B7689" w:rsidRPr="000A7D1A">
        <w:t>) is not to be disclosed by a public official or an agency</w:t>
      </w:r>
      <w:r w:rsidR="00E47A4C" w:rsidRPr="000A7D1A">
        <w:t>.</w:t>
      </w:r>
    </w:p>
    <w:p w14:paraId="41D7A4DF" w14:textId="18E57412" w:rsidR="00600DE1" w:rsidRDefault="00F16583" w:rsidP="0024241C">
      <w:pPr>
        <w:pStyle w:val="BodyText"/>
      </w:pPr>
      <w:r>
        <w:t xml:space="preserve">There are certain circumstances under the PID Act that </w:t>
      </w:r>
      <w:r w:rsidR="007E1979">
        <w:t>allow</w:t>
      </w:r>
      <w:r w:rsidR="005F7951">
        <w:t xml:space="preserve"> </w:t>
      </w:r>
      <w:r w:rsidR="00FB59B1">
        <w:t xml:space="preserve">for </w:t>
      </w:r>
      <w:r w:rsidR="007E1979">
        <w:t xml:space="preserve">the disclosure of </w:t>
      </w:r>
      <w:r w:rsidR="005F7951">
        <w:t xml:space="preserve">identifying </w:t>
      </w:r>
      <w:r w:rsidR="007E1979">
        <w:t>information. These include</w:t>
      </w:r>
      <w:r w:rsidR="00722A1C">
        <w:t>:</w:t>
      </w:r>
    </w:p>
    <w:p w14:paraId="57ECD973" w14:textId="35A29B19" w:rsidR="00600DE1" w:rsidRDefault="00543816" w:rsidP="0024241C">
      <w:pPr>
        <w:pStyle w:val="ListParagraph"/>
      </w:pPr>
      <w:r>
        <w:t>where the person consents in writing to the disclosure</w:t>
      </w:r>
    </w:p>
    <w:p w14:paraId="704FC66A" w14:textId="11E25C63" w:rsidR="007371E0" w:rsidRDefault="007371E0" w:rsidP="0024241C">
      <w:pPr>
        <w:pStyle w:val="ListParagraph"/>
      </w:pPr>
      <w:r>
        <w:t xml:space="preserve">where it is generally known that the person is the maker of the voluntary PID </w:t>
      </w:r>
      <w:r w:rsidR="00DD0EAA">
        <w:t>because</w:t>
      </w:r>
      <w:r>
        <w:t xml:space="preserve"> of their voluntary self-identification as the maker</w:t>
      </w:r>
    </w:p>
    <w:p w14:paraId="1946426D" w14:textId="57AD5B20" w:rsidR="007371E0" w:rsidRDefault="00910750" w:rsidP="0024241C">
      <w:pPr>
        <w:pStyle w:val="ListParagraph"/>
      </w:pPr>
      <w:r>
        <w:t xml:space="preserve">when the public official or </w:t>
      </w:r>
      <w:r w:rsidR="00CD3964">
        <w:t>[</w:t>
      </w:r>
      <w:r>
        <w:t xml:space="preserve">we/agency] </w:t>
      </w:r>
      <w:r w:rsidR="00AF6EFB">
        <w:t>reasonably considers it necessary to disclose the information to protect a person from detriment</w:t>
      </w:r>
    </w:p>
    <w:p w14:paraId="2979846F" w14:textId="308DC806" w:rsidR="00AF6EFB" w:rsidRDefault="00E0202A" w:rsidP="0024241C">
      <w:pPr>
        <w:pStyle w:val="ListParagraph"/>
      </w:pPr>
      <w:r>
        <w:t>where it is necessary the information be disclosed to a person whose interests are affected by the disclosure</w:t>
      </w:r>
    </w:p>
    <w:p w14:paraId="21A289E0" w14:textId="4A3F4926" w:rsidR="00E0202A" w:rsidRDefault="00E0202A" w:rsidP="0024241C">
      <w:pPr>
        <w:pStyle w:val="ListParagraph"/>
      </w:pPr>
      <w:r>
        <w:t>where the information has previously been lawfully published</w:t>
      </w:r>
    </w:p>
    <w:p w14:paraId="7165DCBC" w14:textId="78E60EC4" w:rsidR="00E0202A" w:rsidRPr="0024241C" w:rsidRDefault="003C01FA" w:rsidP="0024241C">
      <w:pPr>
        <w:pStyle w:val="ListParagraph"/>
      </w:pPr>
      <w:r w:rsidRPr="0024241C">
        <w:lastRenderedPageBreak/>
        <w:t>w</w:t>
      </w:r>
      <w:r w:rsidR="00E0202A" w:rsidRPr="0024241C">
        <w:t xml:space="preserve">hen the </w:t>
      </w:r>
      <w:r w:rsidRPr="0024241C">
        <w:t>information is disclosed to a medical practitioner or psychologist for the purposes of providing medical or psychiatric care, treatment or counselling to the individual disclosing the information</w:t>
      </w:r>
    </w:p>
    <w:p w14:paraId="623378EC" w14:textId="2CD17ED9" w:rsidR="0022537F" w:rsidRPr="0024241C" w:rsidRDefault="0022537F" w:rsidP="0024241C">
      <w:pPr>
        <w:pStyle w:val="ListParagraph"/>
      </w:pPr>
      <w:r w:rsidRPr="0024241C">
        <w:t>when the information is disclosed for the purposes of proceedings before a court or tribunal</w:t>
      </w:r>
    </w:p>
    <w:p w14:paraId="1833D54E" w14:textId="113A81A1" w:rsidR="0022537F" w:rsidRPr="0024241C" w:rsidRDefault="004F45D9" w:rsidP="0024241C">
      <w:pPr>
        <w:pStyle w:val="ListParagraph"/>
      </w:pPr>
      <w:r w:rsidRPr="0024241C">
        <w:t>when the disclosure of the information is necessary to deal with the disclosure effectively</w:t>
      </w:r>
    </w:p>
    <w:p w14:paraId="7F6B041D" w14:textId="2FE12680" w:rsidR="004F45D9" w:rsidRPr="00A27302" w:rsidRDefault="004F45D9" w:rsidP="0024241C">
      <w:pPr>
        <w:pStyle w:val="ListParagraph"/>
      </w:pPr>
      <w:r w:rsidRPr="0024241C">
        <w:t>if it is otherwise in the public</w:t>
      </w:r>
      <w:r>
        <w:t xml:space="preserve"> interest to disclose the identifying information.</w:t>
      </w:r>
    </w:p>
    <w:p w14:paraId="6CDE06E8" w14:textId="7B64E5D9" w:rsidR="00EE41DE" w:rsidRDefault="00960CA0" w:rsidP="0024241C">
      <w:pPr>
        <w:pStyle w:val="BodyText"/>
      </w:pPr>
      <w:r>
        <w:t xml:space="preserve">We will not disclose </w:t>
      </w:r>
      <w:r w:rsidR="00200C3E">
        <w:t xml:space="preserve">identifying </w:t>
      </w:r>
      <w:r>
        <w:t xml:space="preserve">information unless it is </w:t>
      </w:r>
      <w:r w:rsidR="00D510ED">
        <w:t xml:space="preserve">necessary and </w:t>
      </w:r>
      <w:r>
        <w:t>authorised under the PID Act</w:t>
      </w:r>
      <w:r w:rsidR="00EF0E39">
        <w:t>.</w:t>
      </w:r>
    </w:p>
    <w:p w14:paraId="74AB94C6" w14:textId="46D503AB" w:rsidR="00DC6A07" w:rsidRDefault="003A68B3" w:rsidP="0024241C">
      <w:pPr>
        <w:pStyle w:val="BodyText"/>
      </w:pPr>
      <w:r w:rsidRPr="003A68B3">
        <w:t xml:space="preserve">We will put in place steps to keep the identifying information of the maker and the fact that a </w:t>
      </w:r>
      <w:r w:rsidR="00374493">
        <w:t xml:space="preserve">report </w:t>
      </w:r>
      <w:r w:rsidRPr="003A68B3">
        <w:t>has been made confidential. It may not be possible for us to maintain complete confidentiality whil</w:t>
      </w:r>
      <w:r w:rsidR="00E36525">
        <w:t>e</w:t>
      </w:r>
      <w:r w:rsidRPr="003A68B3">
        <w:t xml:space="preserve"> we progress the investigation, but we will do all that we practically can</w:t>
      </w:r>
      <w:r w:rsidR="00E36525">
        <w:t xml:space="preserve"> to not</w:t>
      </w:r>
      <w:r w:rsidRPr="003A68B3">
        <w:t xml:space="preserve"> unnecessarily disclose information from which the maker of the </w:t>
      </w:r>
      <w:r w:rsidR="00374493">
        <w:t>report</w:t>
      </w:r>
      <w:r w:rsidR="00374493" w:rsidRPr="003A68B3">
        <w:t xml:space="preserve"> </w:t>
      </w:r>
      <w:r w:rsidRPr="003A68B3">
        <w:t>can be identified. We will do this by</w:t>
      </w:r>
      <w:r w:rsidR="00E36525">
        <w:t>:</w:t>
      </w: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343E3D" w14:paraId="03CD020D" w14:textId="77777777" w:rsidTr="0024241C">
        <w:tc>
          <w:tcPr>
            <w:tcW w:w="9060" w:type="dxa"/>
            <w:shd w:val="clear" w:color="auto" w:fill="CEDDD4"/>
          </w:tcPr>
          <w:p w14:paraId="36853DB8" w14:textId="0C8BAA13" w:rsidR="00343E3D" w:rsidRPr="00AE3943" w:rsidRDefault="000A7D1A" w:rsidP="0024241C">
            <w:pPr>
              <w:pStyle w:val="Notestyle"/>
              <w:rPr>
                <w:i/>
              </w:rPr>
            </w:pPr>
            <w:r w:rsidRPr="001036E3">
              <w:rPr>
                <w:b/>
                <w:iCs w:val="0"/>
              </w:rPr>
              <w:t>Guidance</w:t>
            </w:r>
            <w:r w:rsidR="00343E3D" w:rsidRPr="001036E3">
              <w:rPr>
                <w:iCs w:val="0"/>
              </w:rPr>
              <w:t>:</w:t>
            </w:r>
            <w:r w:rsidR="00343E3D" w:rsidRPr="00BD442B">
              <w:t xml:space="preserve"> </w:t>
            </w:r>
            <w:r w:rsidR="00343E3D" w:rsidRPr="00833509">
              <w:t>Under</w:t>
            </w:r>
            <w:r w:rsidR="00337EF3">
              <w:t xml:space="preserve"> section </w:t>
            </w:r>
            <w:r w:rsidR="00343E3D" w:rsidRPr="00833509">
              <w:t>43(1)(e) of the PID Act, an agency’s PID policy must outline its procedures for maintaining confidentiality in relation to voluntary PIDs and protecting the maker</w:t>
            </w:r>
            <w:r w:rsidR="00DD0EAA">
              <w:t>’</w:t>
            </w:r>
            <w:r w:rsidR="00343E3D" w:rsidRPr="00833509">
              <w:t>s identity.</w:t>
            </w:r>
            <w:r w:rsidR="00343E3D">
              <w:t xml:space="preserve"> </w:t>
            </w:r>
            <w:r w:rsidR="00343E3D" w:rsidRPr="00211B6C">
              <w:t xml:space="preserve">Agencies should </w:t>
            </w:r>
            <w:r w:rsidR="00343E3D">
              <w:t>include what steps</w:t>
            </w:r>
            <w:r w:rsidR="00343E3D" w:rsidRPr="00211B6C">
              <w:t xml:space="preserve"> they will follow to maintain confidentiality. These could include:</w:t>
            </w:r>
          </w:p>
          <w:p w14:paraId="309D9E60" w14:textId="7A2A6BF9" w:rsidR="00343E3D" w:rsidRPr="00BD442B" w:rsidRDefault="001B5AA2" w:rsidP="0024241C">
            <w:pPr>
              <w:pStyle w:val="notestylebullets"/>
            </w:pPr>
            <w:r>
              <w:t>W</w:t>
            </w:r>
            <w:r w:rsidR="00343E3D">
              <w:t>e will limit the number</w:t>
            </w:r>
            <w:r w:rsidR="00343E3D" w:rsidRPr="00BD442B">
              <w:t xml:space="preserve"> of people who are aware of the maker’s identity or information that could identify them.</w:t>
            </w:r>
          </w:p>
          <w:p w14:paraId="29D19D3F" w14:textId="0B23CBDF" w:rsidR="00343E3D" w:rsidRDefault="00343E3D" w:rsidP="0024241C">
            <w:pPr>
              <w:pStyle w:val="notestylebullets"/>
            </w:pPr>
            <w:r>
              <w:t>If we must disclose information that may identify the maker of the PID, we will still not disclose the actual identity of the maker of the PID</w:t>
            </w:r>
            <w:r w:rsidR="00DD0EAA">
              <w:t>,</w:t>
            </w:r>
            <w:r>
              <w:t xml:space="preserve"> unless we have their consent to do so.</w:t>
            </w:r>
          </w:p>
          <w:p w14:paraId="698A4197" w14:textId="7750D5C4" w:rsidR="00343E3D" w:rsidRPr="00BD442B" w:rsidRDefault="00343E3D" w:rsidP="0024241C">
            <w:pPr>
              <w:pStyle w:val="notestylebullets"/>
            </w:pPr>
            <w:r>
              <w:t xml:space="preserve">We will ensure that </w:t>
            </w:r>
            <w:r w:rsidRPr="00BD442B">
              <w:t xml:space="preserve">any person who does know the identity of </w:t>
            </w:r>
            <w:r>
              <w:t>the</w:t>
            </w:r>
            <w:r w:rsidRPr="00BD442B">
              <w:t xml:space="preserve"> maker </w:t>
            </w:r>
            <w:r>
              <w:t xml:space="preserve">of a PID is </w:t>
            </w:r>
            <w:r w:rsidRPr="00BD442B">
              <w:t>reminded that they have a legal obligation to keep their identity confidential.</w:t>
            </w:r>
          </w:p>
          <w:p w14:paraId="78033789" w14:textId="7325C366" w:rsidR="00343E3D" w:rsidRPr="00BD442B" w:rsidRDefault="00343E3D" w:rsidP="0024241C">
            <w:pPr>
              <w:pStyle w:val="notestylebullets"/>
            </w:pPr>
            <w:r>
              <w:t xml:space="preserve">We will ensure </w:t>
            </w:r>
            <w:r w:rsidR="00B839A4">
              <w:t xml:space="preserve">that </w:t>
            </w:r>
            <w:r w:rsidR="00B839A4" w:rsidRPr="00BD442B">
              <w:t>only</w:t>
            </w:r>
            <w:r w:rsidRPr="00BD442B">
              <w:t xml:space="preserve"> </w:t>
            </w:r>
            <w:r>
              <w:t xml:space="preserve">authorised persons </w:t>
            </w:r>
            <w:r w:rsidRPr="00BD442B">
              <w:t>have access to emails</w:t>
            </w:r>
            <w:r>
              <w:t xml:space="preserve">, </w:t>
            </w:r>
            <w:r w:rsidRPr="00BD442B">
              <w:t xml:space="preserve">files </w:t>
            </w:r>
            <w:r>
              <w:t xml:space="preserve">or other documentation </w:t>
            </w:r>
            <w:r w:rsidRPr="00BD442B">
              <w:t>that contain information about the identity of the maker.</w:t>
            </w:r>
          </w:p>
          <w:p w14:paraId="11504A01" w14:textId="77777777" w:rsidR="006D0DAF" w:rsidRDefault="00343E3D" w:rsidP="006D0DAF">
            <w:pPr>
              <w:pStyle w:val="notestylebullets"/>
            </w:pPr>
            <w:r>
              <w:t>We will undertake</w:t>
            </w:r>
            <w:r w:rsidRPr="00211B6C">
              <w:t xml:space="preserve"> an assessment to determine if</w:t>
            </w:r>
            <w:r w:rsidRPr="00BD442B">
              <w:t xml:space="preserve"> anyone is aware of the maker’s identity </w:t>
            </w:r>
            <w:r w:rsidRPr="00211B6C">
              <w:t>and if those persons have</w:t>
            </w:r>
            <w:r w:rsidRPr="00BD442B">
              <w:t xml:space="preserve"> a motive to cause detrimental action to be taken against the maker or impede the progress of the investigation.</w:t>
            </w:r>
          </w:p>
          <w:p w14:paraId="47041CAD" w14:textId="0365A198" w:rsidR="006D0DAF" w:rsidRPr="00DD0EAA" w:rsidRDefault="00343E3D" w:rsidP="008A420C">
            <w:pPr>
              <w:pStyle w:val="notestylebullets"/>
              <w:spacing w:after="120"/>
              <w:ind w:left="590" w:hanging="284"/>
            </w:pPr>
            <w:r>
              <w:t>We will provide</w:t>
            </w:r>
            <w:r w:rsidRPr="00BD442B">
              <w:t xml:space="preserve"> information to the maker of the PID about the importance of maintaining confidentiality and advising them how best to protect their identity, for example, by telling them not to discuss their </w:t>
            </w:r>
            <w:r w:rsidR="00374493">
              <w:t>report</w:t>
            </w:r>
            <w:r w:rsidR="00374493" w:rsidRPr="00BD442B">
              <w:t xml:space="preserve"> </w:t>
            </w:r>
            <w:r w:rsidRPr="00BD442B">
              <w:t>with other staff</w:t>
            </w:r>
            <w:r w:rsidRPr="0093701F">
              <w:t>.</w:t>
            </w:r>
          </w:p>
        </w:tc>
      </w:tr>
    </w:tbl>
    <w:p w14:paraId="006BF06C" w14:textId="6E20D21A" w:rsidR="001951D2" w:rsidRDefault="00332EC3" w:rsidP="0024241C">
      <w:pPr>
        <w:pStyle w:val="BodyText"/>
      </w:pPr>
      <w:r w:rsidRPr="001C1C22">
        <w:t>If confidentiality cannot</w:t>
      </w:r>
      <w:r w:rsidR="00BB3759" w:rsidRPr="001C1C22">
        <w:t xml:space="preserve"> </w:t>
      </w:r>
      <w:r w:rsidRPr="001C1C22">
        <w:t>be maintained</w:t>
      </w:r>
      <w:r w:rsidR="00BB3759" w:rsidRPr="001C1C22">
        <w:t xml:space="preserve"> or is unlikely to be maintained,</w:t>
      </w:r>
      <w:r w:rsidRPr="001C1C22">
        <w:t xml:space="preserve"> </w:t>
      </w:r>
      <w:r w:rsidR="00CD3964">
        <w:t>[</w:t>
      </w:r>
      <w:r w:rsidR="00960CA0">
        <w:t>we/</w:t>
      </w:r>
      <w:r w:rsidR="00BB3759" w:rsidRPr="001C1C22">
        <w:t xml:space="preserve">agency name] </w:t>
      </w:r>
      <w:r w:rsidR="00BB3759" w:rsidRPr="00343E3D">
        <w:t>wil</w:t>
      </w:r>
      <w:r w:rsidR="00343E3D" w:rsidRPr="00833509">
        <w:t>l:</w:t>
      </w: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343E3D" w14:paraId="4C88F38A" w14:textId="77777777" w:rsidTr="00DC6A07">
        <w:trPr>
          <w:trHeight w:val="2880"/>
        </w:trPr>
        <w:tc>
          <w:tcPr>
            <w:tcW w:w="9060" w:type="dxa"/>
            <w:shd w:val="clear" w:color="auto" w:fill="CEDDD4"/>
          </w:tcPr>
          <w:p w14:paraId="79B7D9D4" w14:textId="38C92C3C" w:rsidR="00343E3D" w:rsidRDefault="000A7D1A" w:rsidP="0024241C">
            <w:pPr>
              <w:pStyle w:val="Notestyle"/>
              <w:shd w:val="clear" w:color="auto" w:fill="CEDDD4"/>
            </w:pPr>
            <w:r w:rsidRPr="001036E3">
              <w:rPr>
                <w:b/>
                <w:iCs w:val="0"/>
              </w:rPr>
              <w:t>Guidance</w:t>
            </w:r>
            <w:r w:rsidR="00343E3D" w:rsidRPr="001036E3">
              <w:rPr>
                <w:iCs w:val="0"/>
              </w:rPr>
              <w:t>:</w:t>
            </w:r>
            <w:r w:rsidR="00343E3D" w:rsidRPr="00211B6C">
              <w:rPr>
                <w:b/>
              </w:rPr>
              <w:t xml:space="preserve"> </w:t>
            </w:r>
            <w:r w:rsidR="00343E3D" w:rsidRPr="00BD70D2">
              <w:t>Agencies should list the procedure</w:t>
            </w:r>
            <w:r w:rsidR="00343E3D">
              <w:t>s that apply</w:t>
            </w:r>
            <w:r w:rsidR="00343E3D" w:rsidRPr="00BD70D2">
              <w:t xml:space="preserve"> when confidentiality cannot be maintained. This could </w:t>
            </w:r>
            <w:r w:rsidR="00343E3D">
              <w:t>include:</w:t>
            </w:r>
          </w:p>
          <w:p w14:paraId="1D2C8D08" w14:textId="7C290F80" w:rsidR="00343E3D" w:rsidRDefault="00571631" w:rsidP="0024241C">
            <w:pPr>
              <w:pStyle w:val="notestylebullets"/>
              <w:shd w:val="clear" w:color="auto" w:fill="CEDDD4"/>
            </w:pPr>
            <w:r>
              <w:t>a</w:t>
            </w:r>
            <w:r w:rsidR="00343E3D">
              <w:t>dvising the person whose identity may become known</w:t>
            </w:r>
          </w:p>
          <w:p w14:paraId="512B3EDA" w14:textId="3938D0EF" w:rsidR="00343E3D" w:rsidRDefault="00571631" w:rsidP="0024241C">
            <w:pPr>
              <w:pStyle w:val="notestylebullets"/>
              <w:shd w:val="clear" w:color="auto" w:fill="CEDDD4"/>
            </w:pPr>
            <w:r>
              <w:t>u</w:t>
            </w:r>
            <w:r w:rsidR="00343E3D">
              <w:t>pdating the agency’s risk assessment and risk management plan</w:t>
            </w:r>
          </w:p>
          <w:p w14:paraId="03170DF6" w14:textId="41362038" w:rsidR="00343E3D" w:rsidRDefault="00571631" w:rsidP="0024241C">
            <w:pPr>
              <w:pStyle w:val="notestylebullets"/>
              <w:shd w:val="clear" w:color="auto" w:fill="CEDDD4"/>
            </w:pPr>
            <w:r>
              <w:t>i</w:t>
            </w:r>
            <w:r w:rsidR="00343E3D">
              <w:t>mplementing strategies to minimise the risk of detrimental action</w:t>
            </w:r>
          </w:p>
          <w:p w14:paraId="267F44E6" w14:textId="2174EA61" w:rsidR="00343E3D" w:rsidRDefault="00571631" w:rsidP="0024241C">
            <w:pPr>
              <w:pStyle w:val="notestylebullets"/>
              <w:shd w:val="clear" w:color="auto" w:fill="CEDDD4"/>
            </w:pPr>
            <w:r>
              <w:t>p</w:t>
            </w:r>
            <w:r w:rsidR="00343E3D">
              <w:t>roviding additional supports to the person who has made the PID</w:t>
            </w:r>
          </w:p>
          <w:p w14:paraId="0112E287" w14:textId="1D504B3B" w:rsidR="00343E3D" w:rsidRPr="00833509" w:rsidRDefault="00571631" w:rsidP="0024241C">
            <w:pPr>
              <w:pStyle w:val="notestylebullets"/>
              <w:shd w:val="clear" w:color="auto" w:fill="CEDDD4"/>
              <w:spacing w:after="120"/>
              <w:ind w:left="590" w:hanging="284"/>
            </w:pPr>
            <w:r>
              <w:t>r</w:t>
            </w:r>
            <w:r w:rsidR="00343E3D">
              <w:t xml:space="preserve">eminding persons who become aware of the identifying information of the consequences for failing to maintain confidentiality and that engaging in detrimental action is a criminal offence and may also be a disciplinary matter. </w:t>
            </w:r>
          </w:p>
        </w:tc>
      </w:tr>
    </w:tbl>
    <w:p w14:paraId="5031D9CD" w14:textId="6E23A799" w:rsidR="000A54B8" w:rsidRPr="00AC13A0" w:rsidRDefault="000A54B8" w:rsidP="00E3369E">
      <w:pPr>
        <w:pStyle w:val="Heading3"/>
        <w:numPr>
          <w:ilvl w:val="0"/>
          <w:numId w:val="17"/>
        </w:numPr>
        <w:ind w:left="567" w:hanging="567"/>
      </w:pPr>
      <w:bookmarkStart w:id="159" w:name="_Toc140251741"/>
      <w:r w:rsidRPr="00AC13A0">
        <w:lastRenderedPageBreak/>
        <w:t xml:space="preserve">How </w:t>
      </w:r>
      <w:r w:rsidR="00CD3964">
        <w:t>[</w:t>
      </w:r>
      <w:r w:rsidR="004D0957">
        <w:t>we/</w:t>
      </w:r>
      <w:r w:rsidR="000E1BCD" w:rsidRPr="00AC13A0">
        <w:t xml:space="preserve">agency name] will </w:t>
      </w:r>
      <w:r w:rsidRPr="00AC13A0">
        <w:t xml:space="preserve">assess and minimise </w:t>
      </w:r>
      <w:r w:rsidR="000E1BCD" w:rsidRPr="00AC13A0">
        <w:t xml:space="preserve">the </w:t>
      </w:r>
      <w:r w:rsidRPr="00AC13A0">
        <w:t xml:space="preserve">risk of </w:t>
      </w:r>
      <w:r w:rsidR="00BD442B" w:rsidRPr="00AC13A0">
        <w:t>detrimental action</w:t>
      </w:r>
      <w:bookmarkEnd w:id="159"/>
    </w:p>
    <w:p w14:paraId="3340E3AA" w14:textId="40CC0DCC" w:rsidR="00144E0E" w:rsidRDefault="00144E0E" w:rsidP="0024241C">
      <w:pPr>
        <w:pStyle w:val="BodyText"/>
      </w:pPr>
      <w:r>
        <w:t xml:space="preserve">[We/agency name] will not tolerate </w:t>
      </w:r>
      <w:r w:rsidR="00A73D87">
        <w:t xml:space="preserve">any detrimental action being taken by any person against a person who has made a PID, </w:t>
      </w:r>
      <w:r w:rsidR="00A826AF">
        <w:t>investigator</w:t>
      </w:r>
      <w:r w:rsidR="001B02E6">
        <w:t>s</w:t>
      </w:r>
      <w:r w:rsidR="00A826AF">
        <w:t xml:space="preserve">, witnesses or the person the </w:t>
      </w:r>
      <w:r w:rsidR="00374493">
        <w:t>report</w:t>
      </w:r>
      <w:r w:rsidR="00A826AF">
        <w:t xml:space="preserve"> is about.</w:t>
      </w:r>
    </w:p>
    <w:p w14:paraId="182393F3" w14:textId="26999994" w:rsidR="00A87ABE" w:rsidRDefault="00BD442B" w:rsidP="0024241C">
      <w:pPr>
        <w:pStyle w:val="BodyText"/>
      </w:pPr>
      <w:r w:rsidRPr="00E316B3">
        <w:t>[</w:t>
      </w:r>
      <w:r w:rsidR="00A826AF">
        <w:t>We/</w:t>
      </w:r>
      <w:r w:rsidR="000955D8">
        <w:t>a</w:t>
      </w:r>
      <w:r w:rsidR="0056528C">
        <w:t>gency name</w:t>
      </w:r>
      <w:r w:rsidRPr="00E316B3">
        <w:t xml:space="preserve">] </w:t>
      </w:r>
      <w:r w:rsidR="00B9725E" w:rsidRPr="00E316B3">
        <w:t>will</w:t>
      </w:r>
      <w:r w:rsidRPr="00E316B3">
        <w:t xml:space="preserve"> assess and take steps to mitigate detrimental action from </w:t>
      </w:r>
      <w:r w:rsidR="00235337" w:rsidRPr="00E316B3">
        <w:t>being taken against</w:t>
      </w:r>
      <w:r w:rsidRPr="00E316B3">
        <w:t xml:space="preserve"> the maker of a voluntary </w:t>
      </w:r>
      <w:r w:rsidR="00B9725E" w:rsidRPr="00E316B3">
        <w:t>PID,</w:t>
      </w:r>
      <w:r w:rsidRPr="00E316B3">
        <w:t xml:space="preserve"> the person whose conduct is the subject of a PID, investigators and witnesses.</w:t>
      </w:r>
    </w:p>
    <w:p w14:paraId="48EA2938" w14:textId="6DA585D3" w:rsidR="000941CB" w:rsidRDefault="000941CB" w:rsidP="0024241C">
      <w:pPr>
        <w:pStyle w:val="BodyText"/>
      </w:pPr>
      <w:r w:rsidRPr="000941CB">
        <w:t>[We/</w:t>
      </w:r>
      <w:r w:rsidR="000955D8">
        <w:t>a</w:t>
      </w:r>
      <w:r w:rsidRPr="000941CB">
        <w:t>gency name] will take steps to assess and minimise the risk of detrimental action by:</w:t>
      </w: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343E3D" w14:paraId="70203456" w14:textId="77777777" w:rsidTr="0024241C">
        <w:tc>
          <w:tcPr>
            <w:tcW w:w="9060" w:type="dxa"/>
            <w:shd w:val="clear" w:color="auto" w:fill="CEDDD4"/>
          </w:tcPr>
          <w:p w14:paraId="2665FB48" w14:textId="020BDF4D" w:rsidR="00343E3D" w:rsidRPr="00B9725E" w:rsidRDefault="000A7D1A" w:rsidP="0024241C">
            <w:pPr>
              <w:pStyle w:val="Notestyle"/>
              <w:rPr>
                <w:i/>
              </w:rPr>
            </w:pPr>
            <w:r w:rsidRPr="001036E3">
              <w:rPr>
                <w:b/>
                <w:iCs w:val="0"/>
              </w:rPr>
              <w:t>Guidance</w:t>
            </w:r>
            <w:r w:rsidR="00343E3D" w:rsidRPr="001036E3">
              <w:rPr>
                <w:iCs w:val="0"/>
              </w:rPr>
              <w:t>:</w:t>
            </w:r>
            <w:r w:rsidR="00343E3D" w:rsidRPr="00B9725E">
              <w:rPr>
                <w:i/>
              </w:rPr>
              <w:t xml:space="preserve"> </w:t>
            </w:r>
            <w:r w:rsidR="00343E3D" w:rsidRPr="00833509">
              <w:t>Under</w:t>
            </w:r>
            <w:r w:rsidR="00337EF3">
              <w:t xml:space="preserve"> section </w:t>
            </w:r>
            <w:r w:rsidR="00343E3D" w:rsidRPr="00833509">
              <w:t>43(1(c) of the PID Act, agencies must specify what steps they will undertake to assess and minimise the risk of detrimental action.</w:t>
            </w:r>
            <w:r w:rsidR="00343E3D" w:rsidRPr="00E316B3">
              <w:t xml:space="preserve"> Information that could be included in the procedures includes:</w:t>
            </w:r>
          </w:p>
          <w:p w14:paraId="3165CE80" w14:textId="2CF8B0DA" w:rsidR="00343E3D" w:rsidRPr="00E316B3" w:rsidRDefault="00DF26F2" w:rsidP="0024241C">
            <w:pPr>
              <w:pStyle w:val="notestylebullets"/>
            </w:pPr>
            <w:r>
              <w:t>e</w:t>
            </w:r>
            <w:r w:rsidR="00343E3D" w:rsidRPr="00E316B3">
              <w:t>xplaining that a risk assessment will be undertaken, and a risk management plan will be created (including reassessing the risk throughout the entirety of the matter)</w:t>
            </w:r>
          </w:p>
          <w:p w14:paraId="29AFDA12" w14:textId="73D2BF99" w:rsidR="00343E3D" w:rsidRPr="00E316B3" w:rsidRDefault="00DF26F2" w:rsidP="0024241C">
            <w:pPr>
              <w:pStyle w:val="notestylebullets"/>
            </w:pPr>
            <w:r>
              <w:t>p</w:t>
            </w:r>
            <w:r w:rsidR="00343E3D" w:rsidRPr="00E316B3">
              <w:t>roviding d</w:t>
            </w:r>
            <w:r w:rsidR="00343E3D" w:rsidRPr="00171176">
              <w:t xml:space="preserve">etails of </w:t>
            </w:r>
            <w:r w:rsidR="00343E3D" w:rsidRPr="00E316B3">
              <w:t>the</w:t>
            </w:r>
            <w:r w:rsidR="00343E3D" w:rsidRPr="00171176">
              <w:t xml:space="preserve"> unit/role </w:t>
            </w:r>
            <w:r w:rsidR="00343E3D" w:rsidRPr="00E316B3">
              <w:t xml:space="preserve">that </w:t>
            </w:r>
            <w:r w:rsidR="00343E3D" w:rsidRPr="00171176">
              <w:t>will be responsible for undertaking a risk assessment</w:t>
            </w:r>
          </w:p>
          <w:p w14:paraId="5A4DA8A6" w14:textId="12A279E8" w:rsidR="00343E3D" w:rsidRPr="00E316B3" w:rsidRDefault="00571631" w:rsidP="0024241C">
            <w:pPr>
              <w:pStyle w:val="notestylebullets"/>
            </w:pPr>
            <w:r>
              <w:t>e</w:t>
            </w:r>
            <w:r w:rsidR="00343E3D">
              <w:t>xplaining the approvals for</w:t>
            </w:r>
            <w:r w:rsidR="00343E3D" w:rsidRPr="00E316B3">
              <w:t xml:space="preserve"> risk assessment and </w:t>
            </w:r>
            <w:r w:rsidR="0047357C">
              <w:t xml:space="preserve">the </w:t>
            </w:r>
            <w:r w:rsidR="00343E3D" w:rsidRPr="00E316B3">
              <w:t>risk management plan</w:t>
            </w:r>
            <w:r w:rsidR="003F4EC6">
              <w:t>,</w:t>
            </w:r>
            <w:r w:rsidR="00343E3D" w:rsidRPr="00E316B3">
              <w:t xml:space="preserve"> </w:t>
            </w:r>
            <w:r w:rsidR="00DF26F2">
              <w:t>that is</w:t>
            </w:r>
            <w:r w:rsidR="00343E3D" w:rsidRPr="00E316B3">
              <w:t>, rank or role of the person who has final approval</w:t>
            </w:r>
          </w:p>
          <w:p w14:paraId="704BC669" w14:textId="650068BD" w:rsidR="00343E3D" w:rsidRPr="00E316B3" w:rsidRDefault="00571631" w:rsidP="0024241C">
            <w:pPr>
              <w:pStyle w:val="notestylebullets"/>
            </w:pPr>
            <w:r>
              <w:t>e</w:t>
            </w:r>
            <w:r w:rsidR="00343E3D">
              <w:t>xplaining how the agency will communicate with the maker to identify risks</w:t>
            </w:r>
          </w:p>
          <w:p w14:paraId="2607AFBE" w14:textId="70E3BADF" w:rsidR="00343E3D" w:rsidRPr="00E316B3" w:rsidRDefault="00571631" w:rsidP="0024241C">
            <w:pPr>
              <w:pStyle w:val="notestylebullets"/>
            </w:pPr>
            <w:r>
              <w:t>l</w:t>
            </w:r>
            <w:r w:rsidR="00343E3D">
              <w:t>isting the protections that will be offered</w:t>
            </w:r>
            <w:r w:rsidR="000D27FB">
              <w:t>,</w:t>
            </w:r>
            <w:r w:rsidR="00343E3D" w:rsidRPr="00E316B3">
              <w:t xml:space="preserve"> </w:t>
            </w:r>
            <w:r w:rsidR="00DF26F2">
              <w:t>that is</w:t>
            </w:r>
            <w:r w:rsidR="00343E3D">
              <w:t>,</w:t>
            </w:r>
            <w:r w:rsidR="00343E3D" w:rsidRPr="00E316B3">
              <w:t xml:space="preserve"> </w:t>
            </w:r>
            <w:r w:rsidR="00343E3D">
              <w:t>t</w:t>
            </w:r>
            <w:r w:rsidR="00343E3D" w:rsidRPr="00E316B3">
              <w:t>he agency will discuss protection options with the maker which may including remote working or approved leave for the duration of the investigation</w:t>
            </w:r>
          </w:p>
          <w:p w14:paraId="0FEDE0C5" w14:textId="6B84FA84" w:rsidR="00343E3D" w:rsidRDefault="00571631" w:rsidP="0024241C">
            <w:pPr>
              <w:pStyle w:val="notestylebullets"/>
            </w:pPr>
            <w:r>
              <w:t>o</w:t>
            </w:r>
            <w:r w:rsidR="00343E3D">
              <w:t>utlining what supports will be provided.</w:t>
            </w:r>
          </w:p>
          <w:p w14:paraId="321BD0A6" w14:textId="678B7D62" w:rsidR="00343E3D" w:rsidRDefault="00343E3D" w:rsidP="0024241C">
            <w:pPr>
              <w:pStyle w:val="Notestyle"/>
            </w:pPr>
            <w:r w:rsidRPr="00833509">
              <w:t xml:space="preserve">Further information on assessing the risk of detrimental action is found in the Ombudsman’s guideline ‘Agencies </w:t>
            </w:r>
            <w:r w:rsidR="00337EF3">
              <w:t>—</w:t>
            </w:r>
            <w:r w:rsidRPr="00833509">
              <w:t xml:space="preserve"> assessing and managing the risk of detrimental action’.</w:t>
            </w:r>
          </w:p>
        </w:tc>
      </w:tr>
    </w:tbl>
    <w:p w14:paraId="6EE80AA2" w14:textId="571C9A8F" w:rsidR="00174DEB" w:rsidRPr="003A7DD6" w:rsidRDefault="003A7DD6" w:rsidP="0024241C">
      <w:pPr>
        <w:pStyle w:val="BodyText"/>
      </w:pPr>
      <w:r w:rsidRPr="003A7DD6">
        <w:t>Detrimental action against a person is an act or omission that causes, comprises, involves or encourages detriment to a person or a threat of detriment to a person (whether express or implied). Detriment to a person includes</w:t>
      </w:r>
      <w:r w:rsidR="00174DEB">
        <w:t>:</w:t>
      </w:r>
    </w:p>
    <w:p w14:paraId="3591D8C2" w14:textId="59CC170D" w:rsidR="003A7DD6" w:rsidRPr="003A7DD6" w:rsidRDefault="00810511" w:rsidP="0024241C">
      <w:pPr>
        <w:pStyle w:val="ListParagraph"/>
      </w:pPr>
      <w:r>
        <w:t>i</w:t>
      </w:r>
      <w:r w:rsidR="003A7DD6" w:rsidRPr="003A7DD6">
        <w:t xml:space="preserve">njury, </w:t>
      </w:r>
      <w:r w:rsidR="00333079" w:rsidRPr="003A7DD6">
        <w:t>damage</w:t>
      </w:r>
      <w:r w:rsidR="003A7DD6" w:rsidRPr="003A7DD6">
        <w:t xml:space="preserve"> or loss</w:t>
      </w:r>
    </w:p>
    <w:p w14:paraId="373566DD" w14:textId="059D41B7" w:rsidR="003A7DD6" w:rsidRPr="003A7DD6" w:rsidRDefault="003A7DD6" w:rsidP="0024241C">
      <w:pPr>
        <w:pStyle w:val="ListParagraph"/>
      </w:pPr>
      <w:r w:rsidRPr="003A7DD6">
        <w:t>property damage</w:t>
      </w:r>
    </w:p>
    <w:p w14:paraId="16B804B4" w14:textId="7CEEC3D9" w:rsidR="003A7DD6" w:rsidRPr="003A7DD6" w:rsidRDefault="003A7DD6" w:rsidP="0024241C">
      <w:pPr>
        <w:pStyle w:val="ListParagraph"/>
      </w:pPr>
      <w:r w:rsidRPr="003A7DD6">
        <w:t>reputational damage</w:t>
      </w:r>
    </w:p>
    <w:p w14:paraId="2C992DC1" w14:textId="6EDC48C6" w:rsidR="003A7DD6" w:rsidRPr="003A7DD6" w:rsidRDefault="003A7DD6" w:rsidP="0024241C">
      <w:pPr>
        <w:pStyle w:val="ListParagraph"/>
      </w:pPr>
      <w:r w:rsidRPr="003A7DD6">
        <w:t>intimidation, bullying or harassment</w:t>
      </w:r>
    </w:p>
    <w:p w14:paraId="0B7D2014" w14:textId="13E0D855" w:rsidR="003A7DD6" w:rsidRPr="003A7DD6" w:rsidRDefault="003A7DD6" w:rsidP="0024241C">
      <w:pPr>
        <w:pStyle w:val="ListParagraph"/>
      </w:pPr>
      <w:r w:rsidRPr="003A7DD6">
        <w:t>unfavourable treatment in relation to another person’s job</w:t>
      </w:r>
    </w:p>
    <w:p w14:paraId="5A44665F" w14:textId="33D7E6DB" w:rsidR="003A7DD6" w:rsidRPr="003A7DD6" w:rsidRDefault="003A7DD6" w:rsidP="0024241C">
      <w:pPr>
        <w:pStyle w:val="ListParagraph"/>
      </w:pPr>
      <w:r w:rsidRPr="003A7DD6">
        <w:t>discrimination, prejudice or adverse treatment</w:t>
      </w:r>
    </w:p>
    <w:p w14:paraId="0D1832D1" w14:textId="7CC03F50" w:rsidR="003A7DD6" w:rsidRDefault="003A7DD6" w:rsidP="0024241C">
      <w:pPr>
        <w:pStyle w:val="ListParagraph"/>
      </w:pPr>
      <w:r w:rsidRPr="003A7DD6">
        <w:t>disciplinary proceedings or disciplinary action, or</w:t>
      </w:r>
    </w:p>
    <w:p w14:paraId="67640ED3" w14:textId="130E48C3" w:rsidR="00A87ABE" w:rsidRDefault="003A7DD6" w:rsidP="0024241C">
      <w:pPr>
        <w:pStyle w:val="ListParagraph"/>
      </w:pPr>
      <w:r w:rsidRPr="00174DEB">
        <w:t>any other type of disadvantage</w:t>
      </w:r>
      <w:r w:rsidR="009A79FF">
        <w:t>.</w:t>
      </w:r>
    </w:p>
    <w:p w14:paraId="203F4FA8" w14:textId="3A31487A" w:rsidR="00652BDE" w:rsidRPr="000A7D1A" w:rsidRDefault="00652BDE" w:rsidP="0024241C">
      <w:pPr>
        <w:pStyle w:val="BodyText"/>
      </w:pPr>
      <w:r w:rsidRPr="000A7D1A">
        <w:t>Detriment</w:t>
      </w:r>
      <w:r w:rsidR="002046E3" w:rsidRPr="000A7D1A">
        <w:t xml:space="preserve">al action does </w:t>
      </w:r>
      <w:r w:rsidRPr="000A7D1A">
        <w:t>not include</w:t>
      </w:r>
      <w:r w:rsidR="00C533CD" w:rsidRPr="000A7D1A">
        <w:t>:</w:t>
      </w:r>
    </w:p>
    <w:p w14:paraId="38B25AEB" w14:textId="7649E582" w:rsidR="002046E3" w:rsidRPr="000A7D1A" w:rsidRDefault="002046E3" w:rsidP="0092570F">
      <w:pPr>
        <w:pStyle w:val="ListParagraph"/>
        <w:ind w:right="-23"/>
      </w:pPr>
      <w:r w:rsidRPr="000A7D1A">
        <w:t>lawful action taken by a person or body to investigate serious wrongdoing or other misconduct</w:t>
      </w:r>
    </w:p>
    <w:p w14:paraId="4E430BF9" w14:textId="0BF69967" w:rsidR="002046E3" w:rsidRPr="000A7D1A" w:rsidRDefault="002046E3" w:rsidP="0024241C">
      <w:pPr>
        <w:pStyle w:val="ListParagraph"/>
      </w:pPr>
      <w:r w:rsidRPr="000A7D1A">
        <w:t>the lawful reporting or publication of a finding of serious wrongdoing or other misconduct</w:t>
      </w:r>
    </w:p>
    <w:p w14:paraId="2D56B19A" w14:textId="3A06F4E2" w:rsidR="002046E3" w:rsidRPr="000A7D1A" w:rsidRDefault="002046E3" w:rsidP="0024241C">
      <w:pPr>
        <w:pStyle w:val="ListParagraph"/>
      </w:pPr>
      <w:r w:rsidRPr="000A7D1A">
        <w:t>the lawful making of adverse comment, resulting from investigative action</w:t>
      </w:r>
    </w:p>
    <w:p w14:paraId="6C093E7F" w14:textId="288DF6FB" w:rsidR="002046E3" w:rsidRPr="00833509" w:rsidRDefault="002046E3" w:rsidP="0024241C">
      <w:pPr>
        <w:pStyle w:val="ListParagraph"/>
      </w:pPr>
      <w:r w:rsidRPr="00833509">
        <w:t>the prosecution of a person for a criminal offence</w:t>
      </w:r>
    </w:p>
    <w:p w14:paraId="2CF02EC9" w14:textId="613DE0F0" w:rsidR="000941CB" w:rsidRDefault="002046E3" w:rsidP="0024241C">
      <w:pPr>
        <w:pStyle w:val="ListParagraph"/>
      </w:pPr>
      <w:r w:rsidRPr="000A7D1A">
        <w:lastRenderedPageBreak/>
        <w:t xml:space="preserve">reasonable management action taken by someone in relation to a person who made or may make a PID. For example, a reasonable appraisal of a PID maker’s work performance. </w:t>
      </w:r>
    </w:p>
    <w:p w14:paraId="324E976B" w14:textId="2F0AD80B" w:rsidR="000A54B8" w:rsidRPr="00DB4A62" w:rsidRDefault="000E1BCD" w:rsidP="00E3369E">
      <w:pPr>
        <w:pStyle w:val="Heading3"/>
        <w:numPr>
          <w:ilvl w:val="0"/>
          <w:numId w:val="17"/>
        </w:numPr>
        <w:ind w:left="567" w:hanging="567"/>
      </w:pPr>
      <w:bookmarkStart w:id="160" w:name="_Toc140251742"/>
      <w:r w:rsidRPr="00DB4A62">
        <w:t xml:space="preserve">How </w:t>
      </w:r>
      <w:r w:rsidR="00CD3964">
        <w:t>[</w:t>
      </w:r>
      <w:r w:rsidR="00144E0E">
        <w:t>we/</w:t>
      </w:r>
      <w:r w:rsidRPr="00DB4A62">
        <w:t>agency name] will deal with allegations of a detrimental action offence</w:t>
      </w:r>
      <w:bookmarkEnd w:id="160"/>
    </w:p>
    <w:p w14:paraId="63D1439F" w14:textId="431175DE" w:rsidR="00A321AF" w:rsidRDefault="00502BBE" w:rsidP="00B43D00">
      <w:pPr>
        <w:pStyle w:val="BodyText"/>
      </w:pPr>
      <w:r>
        <w:t xml:space="preserve">If </w:t>
      </w:r>
      <w:r w:rsidR="00CD3964">
        <w:t>[</w:t>
      </w:r>
      <w:r w:rsidR="00A826AF">
        <w:t>we/</w:t>
      </w:r>
      <w:r>
        <w:t xml:space="preserve">agency name] </w:t>
      </w:r>
      <w:r w:rsidR="004B6627">
        <w:t>become</w:t>
      </w:r>
      <w:r w:rsidR="0023570E">
        <w:t>(</w:t>
      </w:r>
      <w:r w:rsidR="004B6627">
        <w:t>s</w:t>
      </w:r>
      <w:r w:rsidR="0023570E">
        <w:t>)</w:t>
      </w:r>
      <w:r w:rsidR="004B6627">
        <w:t xml:space="preserve"> aware of an allegation that a detrimental action offence has occurre</w:t>
      </w:r>
      <w:r w:rsidR="00A321AF">
        <w:t>d</w:t>
      </w:r>
      <w:r w:rsidR="00660089">
        <w:t xml:space="preserve"> or may occur</w:t>
      </w:r>
      <w:r w:rsidR="00892D1D">
        <w:t>,</w:t>
      </w:r>
      <w:r w:rsidR="00A321AF">
        <w:t xml:space="preserve"> </w:t>
      </w:r>
      <w:r w:rsidR="00CD3964">
        <w:t>[</w:t>
      </w:r>
      <w:r w:rsidR="006D548F">
        <w:t>we/</w:t>
      </w:r>
      <w:r w:rsidR="00A321AF">
        <w:t>agency name] will:</w:t>
      </w:r>
    </w:p>
    <w:p w14:paraId="550B0E62" w14:textId="27879152" w:rsidR="00E94722" w:rsidRPr="00B43D00" w:rsidRDefault="00E94722" w:rsidP="00B43D00">
      <w:pPr>
        <w:pStyle w:val="ListParagraph"/>
      </w:pPr>
      <w:r w:rsidRPr="00B43D00">
        <w:t xml:space="preserve">take </w:t>
      </w:r>
      <w:r w:rsidR="00892D1D" w:rsidRPr="00B43D00">
        <w:t xml:space="preserve">all </w:t>
      </w:r>
      <w:r w:rsidRPr="00B43D00">
        <w:t>steps possible to stop the action and protect the person(s)</w:t>
      </w:r>
    </w:p>
    <w:p w14:paraId="2433A942" w14:textId="16DEC11F" w:rsidR="00E94722" w:rsidRPr="00B43D00" w:rsidRDefault="00E94722" w:rsidP="00B43D00">
      <w:pPr>
        <w:pStyle w:val="ListParagraph"/>
      </w:pPr>
      <w:r w:rsidRPr="00B43D00">
        <w:t xml:space="preserve">take appropriate disciplinary action against anyone </w:t>
      </w:r>
      <w:r w:rsidR="007F6D97" w:rsidRPr="00B43D00">
        <w:t>that has</w:t>
      </w:r>
      <w:r w:rsidRPr="00B43D00">
        <w:t xml:space="preserve"> </w:t>
      </w:r>
      <w:r w:rsidR="007F6D97" w:rsidRPr="00B43D00">
        <w:t>taken</w:t>
      </w:r>
      <w:r w:rsidRPr="00B43D00">
        <w:t xml:space="preserve"> detrimental action</w:t>
      </w:r>
    </w:p>
    <w:p w14:paraId="5E136C56" w14:textId="31833CEC" w:rsidR="0077760D" w:rsidRPr="00B43D00" w:rsidRDefault="00E94722" w:rsidP="00B43D00">
      <w:pPr>
        <w:pStyle w:val="ListParagraph"/>
      </w:pPr>
      <w:r w:rsidRPr="00B43D00">
        <w:t>refer any evidence of a detrimental action offence to the Commissioner of Police</w:t>
      </w:r>
      <w:r w:rsidR="00643EF7" w:rsidRPr="00B43D00">
        <w:t xml:space="preserve"> </w:t>
      </w:r>
      <w:r w:rsidR="001338C2" w:rsidRPr="00B43D00">
        <w:t xml:space="preserve">and the </w:t>
      </w:r>
      <w:r w:rsidR="003D512F" w:rsidRPr="00B43D00">
        <w:t>ICAC</w:t>
      </w:r>
      <w:r w:rsidR="001338C2" w:rsidRPr="00B43D00">
        <w:t xml:space="preserve"> </w:t>
      </w:r>
      <w:r w:rsidR="007F6D97" w:rsidRPr="00B43D00">
        <w:t xml:space="preserve">or the Law Enforcement </w:t>
      </w:r>
      <w:r w:rsidR="00135DBF" w:rsidRPr="00B43D00">
        <w:t xml:space="preserve">Conduct </w:t>
      </w:r>
      <w:r w:rsidR="007F6D97" w:rsidRPr="00B43D00">
        <w:t>Commission (whichever is applicable)</w:t>
      </w:r>
    </w:p>
    <w:p w14:paraId="7E9A1FC4" w14:textId="2F44874B" w:rsidR="00DC6A07" w:rsidRDefault="00E94722" w:rsidP="002200AF">
      <w:pPr>
        <w:pStyle w:val="ListParagraph"/>
        <w:spacing w:after="240"/>
        <w:ind w:left="568" w:hanging="284"/>
      </w:pPr>
      <w:r w:rsidRPr="00B43D00">
        <w:t>notify the</w:t>
      </w:r>
      <w:r w:rsidR="008E09A4">
        <w:t xml:space="preserve"> NSW</w:t>
      </w:r>
      <w:r w:rsidRPr="00B43D00">
        <w:t xml:space="preserve"> Ombudsman about the allegation of a detrimental action offence being committed</w:t>
      </w:r>
      <w:r w:rsidR="0089068F">
        <w:t>.</w:t>
      </w: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DB4E68" w14:paraId="30AC80DB" w14:textId="77777777" w:rsidTr="00B43D00">
        <w:tc>
          <w:tcPr>
            <w:tcW w:w="9065" w:type="dxa"/>
            <w:shd w:val="clear" w:color="auto" w:fill="CEDDD4"/>
          </w:tcPr>
          <w:p w14:paraId="4029B5CE" w14:textId="7F1E0F25" w:rsidR="00DB4E68" w:rsidRPr="00B43D00" w:rsidRDefault="000A7D1A" w:rsidP="00B43D00">
            <w:pPr>
              <w:pStyle w:val="Notestyle"/>
            </w:pPr>
            <w:r w:rsidRPr="001036E3">
              <w:rPr>
                <w:b/>
                <w:iCs w:val="0"/>
              </w:rPr>
              <w:t>Guidance</w:t>
            </w:r>
            <w:r w:rsidR="00DB4E68" w:rsidRPr="001036E3">
              <w:rPr>
                <w:iCs w:val="0"/>
              </w:rPr>
              <w:t>:</w:t>
            </w:r>
            <w:r w:rsidR="00DB4E68" w:rsidRPr="002970EE">
              <w:rPr>
                <w:b/>
              </w:rPr>
              <w:t xml:space="preserve"> </w:t>
            </w:r>
            <w:r w:rsidR="00DB4E68" w:rsidRPr="002970EE">
              <w:t>Agencies should set out:</w:t>
            </w:r>
          </w:p>
          <w:p w14:paraId="1B307B53" w14:textId="1359B17A" w:rsidR="00DB4E68" w:rsidRPr="00A77B29" w:rsidRDefault="00E82EB6" w:rsidP="00B43D00">
            <w:pPr>
              <w:pStyle w:val="notestylebullets"/>
              <w:rPr>
                <w:b/>
              </w:rPr>
            </w:pPr>
            <w:r>
              <w:t>w</w:t>
            </w:r>
            <w:r w:rsidR="00DB4E68" w:rsidRPr="002970EE">
              <w:t>ho is responsible for making referrals about alleged detrimental action offences</w:t>
            </w:r>
          </w:p>
          <w:p w14:paraId="6DC7B48C" w14:textId="40DA3BA7" w:rsidR="00E82EB6" w:rsidRPr="002970EE" w:rsidRDefault="00214654" w:rsidP="00B43D00">
            <w:pPr>
              <w:pStyle w:val="notestylebullets"/>
              <w:rPr>
                <w:b/>
              </w:rPr>
            </w:pPr>
            <w:r>
              <w:t xml:space="preserve">to </w:t>
            </w:r>
            <w:r w:rsidR="00E82EB6">
              <w:t>w</w:t>
            </w:r>
            <w:r w:rsidR="00DB4E68">
              <w:t>ho</w:t>
            </w:r>
            <w:r>
              <w:t>m</w:t>
            </w:r>
            <w:r w:rsidR="00DB4E68">
              <w:t xml:space="preserve"> the victim of detrimental action should speak to within the agency</w:t>
            </w:r>
          </w:p>
          <w:p w14:paraId="676BE13B" w14:textId="6D225C62" w:rsidR="00DB4E68" w:rsidRPr="00E82EB6" w:rsidRDefault="00E82EB6" w:rsidP="00B43D00">
            <w:pPr>
              <w:pStyle w:val="notestylebullets"/>
              <w:spacing w:after="120"/>
              <w:ind w:left="590" w:hanging="284"/>
            </w:pPr>
            <w:r>
              <w:t>h</w:t>
            </w:r>
            <w:r w:rsidR="00DB4E68" w:rsidRPr="0093701F">
              <w:t>ow the person who the alleged detrimental action has been taken against will be updated and what supports will be offered.</w:t>
            </w:r>
          </w:p>
        </w:tc>
      </w:tr>
    </w:tbl>
    <w:p w14:paraId="5DD97B31" w14:textId="66DD6F4F" w:rsidR="000E1BCD" w:rsidRPr="00DB4A62" w:rsidRDefault="000E1BCD" w:rsidP="00E3369E">
      <w:pPr>
        <w:pStyle w:val="Heading3"/>
        <w:numPr>
          <w:ilvl w:val="0"/>
          <w:numId w:val="17"/>
        </w:numPr>
        <w:ind w:left="567" w:hanging="567"/>
      </w:pPr>
      <w:bookmarkStart w:id="161" w:name="_Toc140251743"/>
      <w:r w:rsidRPr="00DB4A62">
        <w:t xml:space="preserve">What </w:t>
      </w:r>
      <w:r w:rsidR="00CD3964">
        <w:t>[</w:t>
      </w:r>
      <w:r w:rsidR="00502BBE" w:rsidRPr="00DB4A62">
        <w:t xml:space="preserve">agency name] will do if </w:t>
      </w:r>
      <w:r w:rsidR="00A30A51" w:rsidRPr="00DB4A62">
        <w:t>an investigation finds</w:t>
      </w:r>
      <w:r w:rsidR="00502BBE" w:rsidRPr="00DB4A62">
        <w:t xml:space="preserve"> that serious wrongdoing has occurred</w:t>
      </w:r>
      <w:bookmarkEnd w:id="161"/>
    </w:p>
    <w:p w14:paraId="7C38A342" w14:textId="649C09BA" w:rsidR="002742B5" w:rsidRDefault="00A30A51" w:rsidP="00B43D00">
      <w:pPr>
        <w:pStyle w:val="BodyText"/>
      </w:pPr>
      <w:r>
        <w:t xml:space="preserve">If, after an investigation, it is found that serious wrongdoing or other misconduct has occurred, </w:t>
      </w:r>
      <w:r w:rsidR="00CD3964">
        <w:t>[</w:t>
      </w:r>
      <w:r w:rsidR="00600BEF">
        <w:t>we/</w:t>
      </w:r>
      <w:r>
        <w:t xml:space="preserve">agency name] will take the most appropriate action to address </w:t>
      </w:r>
      <w:r w:rsidR="002742B5">
        <w:t>that wrongdoing or misconduct.</w:t>
      </w:r>
      <w:r w:rsidR="00ED5A2B">
        <w:t xml:space="preserve"> This is also known as corrective action.</w:t>
      </w:r>
    </w:p>
    <w:p w14:paraId="365B80E1" w14:textId="12958361" w:rsidR="002D3A94" w:rsidRDefault="002D5896" w:rsidP="00B43D00">
      <w:pPr>
        <w:pStyle w:val="BodyText"/>
      </w:pPr>
      <w:r>
        <w:t>Corrective action can include:</w:t>
      </w:r>
    </w:p>
    <w:p w14:paraId="7C631630" w14:textId="1C91AC86" w:rsidR="00C732C1" w:rsidRDefault="00D65548" w:rsidP="00B43D00">
      <w:pPr>
        <w:pStyle w:val="ListParagraph"/>
      </w:pPr>
      <w:r>
        <w:t>a</w:t>
      </w:r>
      <w:r w:rsidR="00C732C1">
        <w:t xml:space="preserve"> formal apology</w:t>
      </w:r>
    </w:p>
    <w:p w14:paraId="2B4BF789" w14:textId="1B944C2D" w:rsidR="00C732C1" w:rsidRPr="00C732C1" w:rsidRDefault="00C732C1" w:rsidP="002200AF">
      <w:pPr>
        <w:pStyle w:val="ListParagraph"/>
        <w:ind w:right="119"/>
      </w:pPr>
      <w:r w:rsidRPr="00C732C1">
        <w:t>improving internal policies to adequately prevent and respond to similar instances of wrongdoing</w:t>
      </w:r>
    </w:p>
    <w:p w14:paraId="1C640F80" w14:textId="233B165E" w:rsidR="00C732C1" w:rsidRPr="00C732C1" w:rsidRDefault="00C732C1" w:rsidP="00B43D00">
      <w:pPr>
        <w:pStyle w:val="ListParagraph"/>
      </w:pPr>
      <w:r w:rsidRPr="00C732C1">
        <w:t>providing additional education and training to staff where required</w:t>
      </w:r>
    </w:p>
    <w:p w14:paraId="1573FB1E" w14:textId="6A060FD6" w:rsidR="002D5896" w:rsidRDefault="00C732C1" w:rsidP="00B43D00">
      <w:pPr>
        <w:pStyle w:val="ListParagraph"/>
      </w:pPr>
      <w:r w:rsidRPr="00C732C1">
        <w:t>taking employment action against persons involved in the wrongdoing (such as termination of employment, relocation</w:t>
      </w:r>
      <w:r w:rsidR="00294A6D">
        <w:t>,</w:t>
      </w:r>
      <w:r w:rsidRPr="00C732C1">
        <w:t xml:space="preserve"> a caution or reprimand)</w:t>
      </w:r>
    </w:p>
    <w:p w14:paraId="7605C3BA" w14:textId="001D8AD8" w:rsidR="002D6028" w:rsidRDefault="002D6028" w:rsidP="002200AF">
      <w:pPr>
        <w:pStyle w:val="ListParagraph"/>
        <w:spacing w:after="240"/>
        <w:ind w:left="568" w:right="403" w:hanging="284"/>
      </w:pPr>
      <w:r w:rsidRPr="002D6028">
        <w:t>payment of compensation to people who have been affected by serious wrongdoing or other misconduct</w:t>
      </w:r>
      <w:r w:rsidR="00DB4E68">
        <w:t>.</w:t>
      </w: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304823" w14:paraId="511349A1" w14:textId="77777777" w:rsidTr="00B43D00">
        <w:trPr>
          <w:trHeight w:val="2561"/>
        </w:trPr>
        <w:tc>
          <w:tcPr>
            <w:tcW w:w="9065" w:type="dxa"/>
            <w:shd w:val="clear" w:color="auto" w:fill="CEDDD4"/>
          </w:tcPr>
          <w:p w14:paraId="4269C9D8" w14:textId="059A6507" w:rsidR="00304823" w:rsidRDefault="000A7D1A" w:rsidP="00B43D00">
            <w:pPr>
              <w:pStyle w:val="Notestyle"/>
              <w:spacing w:after="60"/>
              <w:ind w:left="164"/>
            </w:pPr>
            <w:r w:rsidRPr="001036E3">
              <w:rPr>
                <w:b/>
                <w:iCs w:val="0"/>
              </w:rPr>
              <w:lastRenderedPageBreak/>
              <w:t>Guidance</w:t>
            </w:r>
            <w:r w:rsidR="00304823" w:rsidRPr="001036E3">
              <w:rPr>
                <w:iCs w:val="0"/>
              </w:rPr>
              <w:t>:</w:t>
            </w:r>
            <w:r w:rsidR="00304823">
              <w:t xml:space="preserve"> </w:t>
            </w:r>
            <w:r w:rsidR="00304823" w:rsidRPr="00833509">
              <w:t>Under</w:t>
            </w:r>
            <w:r w:rsidR="00337EF3">
              <w:t xml:space="preserve"> section </w:t>
            </w:r>
            <w:r w:rsidR="00304823" w:rsidRPr="00833509">
              <w:t>43(1)(f) of the PID Act, agencies must include information about the procedure for taking corrective such as:</w:t>
            </w:r>
          </w:p>
          <w:p w14:paraId="6F71343D" w14:textId="39AF6376" w:rsidR="00304823" w:rsidRDefault="00DF26F2" w:rsidP="00B43D00">
            <w:pPr>
              <w:pStyle w:val="notestylebullets"/>
            </w:pPr>
            <w:r>
              <w:t>w</w:t>
            </w:r>
            <w:r w:rsidR="00304823">
              <w:t>ho receives the findings of an investigation (</w:t>
            </w:r>
            <w:r w:rsidR="001367AD">
              <w:t>t</w:t>
            </w:r>
            <w:r w:rsidR="00304823">
              <w:t>his may change depending on the complexity of the investigation, and will be set out in the Terms of Reference or Investigation Plan)</w:t>
            </w:r>
          </w:p>
          <w:p w14:paraId="64EE0104" w14:textId="1E91D314" w:rsidR="00304823" w:rsidRDefault="00DF26F2" w:rsidP="00B43D00">
            <w:pPr>
              <w:pStyle w:val="notestylebullets"/>
            </w:pPr>
            <w:r>
              <w:t>w</w:t>
            </w:r>
            <w:r w:rsidR="00304823">
              <w:t xml:space="preserve">hat steps will be taken to address any recommendations in the findings </w:t>
            </w:r>
          </w:p>
          <w:p w14:paraId="19A9F635" w14:textId="5D20E214" w:rsidR="00304823" w:rsidRDefault="00DF26F2" w:rsidP="00B43D00">
            <w:pPr>
              <w:pStyle w:val="notestylebullets"/>
            </w:pPr>
            <w:r>
              <w:t>w</w:t>
            </w:r>
            <w:r w:rsidR="00304823">
              <w:t>hich person/business unit will be responsible for ensuring corrective action takes place</w:t>
            </w:r>
          </w:p>
          <w:p w14:paraId="3BDE0FDC" w14:textId="07736B7B" w:rsidR="00304823" w:rsidRPr="0093701F" w:rsidRDefault="00DF26F2" w:rsidP="00B43D00">
            <w:pPr>
              <w:pStyle w:val="notestylebullets"/>
              <w:spacing w:after="120"/>
              <w:ind w:left="590" w:hanging="284"/>
            </w:pPr>
            <w:r>
              <w:t>h</w:t>
            </w:r>
            <w:r w:rsidR="00304823">
              <w:t>ow the maker</w:t>
            </w:r>
            <w:r w:rsidR="001367AD">
              <w:t xml:space="preserve"> will</w:t>
            </w:r>
            <w:r w:rsidR="00304823">
              <w:t xml:space="preserve"> be notified of the proposed or recommended corrective action</w:t>
            </w:r>
            <w:r w:rsidR="001367AD">
              <w:t>.</w:t>
            </w:r>
          </w:p>
        </w:tc>
      </w:tr>
    </w:tbl>
    <w:p w14:paraId="038042EE" w14:textId="77777777" w:rsidR="00DB4E68" w:rsidRPr="002742B5" w:rsidRDefault="00DB4E68" w:rsidP="00833509">
      <w:pPr>
        <w:spacing w:after="120"/>
        <w:ind w:left="720"/>
        <w:rPr>
          <w:rFonts w:ascii="Arial" w:hAnsi="Arial" w:cs="Arial"/>
        </w:rPr>
      </w:pPr>
    </w:p>
    <w:p w14:paraId="45BD88C9" w14:textId="26EBB05A" w:rsidR="00D74966" w:rsidRDefault="006835D7" w:rsidP="006835D7">
      <w:pPr>
        <w:pStyle w:val="Heading2"/>
        <w:numPr>
          <w:ilvl w:val="0"/>
          <w:numId w:val="0"/>
        </w:numPr>
        <w:ind w:left="142"/>
      </w:pPr>
      <w:bookmarkStart w:id="162" w:name="_Toc136898225"/>
      <w:bookmarkStart w:id="163" w:name="_Toc136898419"/>
      <w:bookmarkStart w:id="164" w:name="_Toc136935899"/>
      <w:bookmarkStart w:id="165" w:name="_Toc137638751"/>
      <w:bookmarkStart w:id="166" w:name="_Toc137638954"/>
      <w:bookmarkStart w:id="167" w:name="_Toc136898226"/>
      <w:bookmarkStart w:id="168" w:name="_Toc136898420"/>
      <w:bookmarkStart w:id="169" w:name="_Toc136935900"/>
      <w:bookmarkStart w:id="170" w:name="_Toc137638752"/>
      <w:bookmarkStart w:id="171" w:name="_Toc137638955"/>
      <w:bookmarkStart w:id="172" w:name="_Toc136898227"/>
      <w:bookmarkStart w:id="173" w:name="_Toc136898421"/>
      <w:bookmarkStart w:id="174" w:name="_Toc136935901"/>
      <w:bookmarkStart w:id="175" w:name="_Toc137638753"/>
      <w:bookmarkStart w:id="176" w:name="_Toc137638956"/>
      <w:bookmarkStart w:id="177" w:name="_Toc136898228"/>
      <w:bookmarkStart w:id="178" w:name="_Toc136898422"/>
      <w:bookmarkStart w:id="179" w:name="_Toc136935902"/>
      <w:bookmarkStart w:id="180" w:name="_Toc137638754"/>
      <w:bookmarkStart w:id="181" w:name="_Toc137638957"/>
      <w:bookmarkStart w:id="182" w:name="_Toc136898229"/>
      <w:bookmarkStart w:id="183" w:name="_Toc136898423"/>
      <w:bookmarkStart w:id="184" w:name="_Toc136935903"/>
      <w:bookmarkStart w:id="185" w:name="_Toc137638755"/>
      <w:bookmarkStart w:id="186" w:name="_Toc137638958"/>
      <w:bookmarkStart w:id="187" w:name="_Toc136898230"/>
      <w:bookmarkStart w:id="188" w:name="_Toc136898424"/>
      <w:bookmarkStart w:id="189" w:name="_Toc136935904"/>
      <w:bookmarkStart w:id="190" w:name="_Toc137638756"/>
      <w:bookmarkStart w:id="191" w:name="_Toc137638959"/>
      <w:bookmarkStart w:id="192" w:name="_Toc14025174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7.</w:t>
      </w:r>
      <w:r>
        <w:tab/>
      </w:r>
      <w:r w:rsidR="003704C7">
        <w:t>Review and dispute resolution</w:t>
      </w:r>
      <w:bookmarkEnd w:id="192"/>
      <w:r w:rsidR="003704C7">
        <w:t xml:space="preserve"> </w:t>
      </w:r>
    </w:p>
    <w:p w14:paraId="5BF95B5A" w14:textId="1B97756E" w:rsidR="00F419DA" w:rsidRPr="00833509" w:rsidRDefault="00F419DA" w:rsidP="00E3369E">
      <w:pPr>
        <w:pStyle w:val="Heading3"/>
        <w:numPr>
          <w:ilvl w:val="0"/>
          <w:numId w:val="20"/>
        </w:numPr>
        <w:ind w:left="567" w:hanging="567"/>
      </w:pPr>
      <w:bookmarkStart w:id="193" w:name="_Toc140251745"/>
      <w:r w:rsidRPr="00833509">
        <w:t>Internal review</w:t>
      </w:r>
      <w:bookmarkEnd w:id="193"/>
      <w:r w:rsidRPr="00833509">
        <w:t xml:space="preserve"> </w:t>
      </w:r>
    </w:p>
    <w:p w14:paraId="100577A5" w14:textId="6648674F" w:rsidR="006F2BE5" w:rsidRPr="00833509" w:rsidRDefault="00E440A3" w:rsidP="00DC6A07">
      <w:pPr>
        <w:pStyle w:val="BodyText"/>
      </w:pPr>
      <w:r w:rsidRPr="00833509">
        <w:t>People who make</w:t>
      </w:r>
      <w:r w:rsidR="001B09FC" w:rsidRPr="00833509">
        <w:t xml:space="preserve"> voluntary PIDs can seek internal review of the following </w:t>
      </w:r>
      <w:r w:rsidR="006F2BE5" w:rsidRPr="00833509">
        <w:t xml:space="preserve">decisions made by </w:t>
      </w:r>
      <w:r w:rsidR="00CD3964">
        <w:t>[</w:t>
      </w:r>
      <w:r w:rsidR="006F2BE5" w:rsidRPr="00833509">
        <w:t>agency name]</w:t>
      </w:r>
      <w:r w:rsidR="001B09FC" w:rsidRPr="00833509">
        <w:t>:</w:t>
      </w:r>
    </w:p>
    <w:p w14:paraId="27C5BAFD" w14:textId="1DDCFDA6" w:rsidR="001B09FC" w:rsidRPr="00833509" w:rsidRDefault="001B09FC" w:rsidP="00DC6A07">
      <w:pPr>
        <w:pStyle w:val="ListParagraph"/>
      </w:pPr>
      <w:r w:rsidRPr="00833509">
        <w:t xml:space="preserve">that </w:t>
      </w:r>
      <w:r w:rsidR="00CD3964">
        <w:t>[</w:t>
      </w:r>
      <w:r w:rsidR="00ED758B" w:rsidRPr="00833509">
        <w:t>agency name]</w:t>
      </w:r>
      <w:r w:rsidRPr="00833509">
        <w:t xml:space="preserve"> is not required to deal with </w:t>
      </w:r>
      <w:r w:rsidR="00C704CE">
        <w:t>the report</w:t>
      </w:r>
      <w:r w:rsidR="00C704CE" w:rsidRPr="00833509">
        <w:t xml:space="preserve"> </w:t>
      </w:r>
      <w:r w:rsidRPr="00833509">
        <w:t>as a voluntary PID</w:t>
      </w:r>
    </w:p>
    <w:p w14:paraId="67A33B13" w14:textId="79333D5D" w:rsidR="001B09FC" w:rsidRPr="00833509" w:rsidRDefault="001B09FC" w:rsidP="00DC6A07">
      <w:pPr>
        <w:pStyle w:val="ListParagraph"/>
      </w:pPr>
      <w:r w:rsidRPr="00833509">
        <w:t xml:space="preserve">to stop dealing with the </w:t>
      </w:r>
      <w:r w:rsidR="00C704CE">
        <w:t xml:space="preserve">report </w:t>
      </w:r>
      <w:r w:rsidRPr="00833509">
        <w:t xml:space="preserve">because </w:t>
      </w:r>
      <w:r w:rsidR="00CD3964">
        <w:t>[</w:t>
      </w:r>
      <w:r w:rsidR="00ED758B" w:rsidRPr="00833509">
        <w:t>we/agency name]</w:t>
      </w:r>
      <w:r w:rsidRPr="00833509">
        <w:t xml:space="preserve"> decided it was not a</w:t>
      </w:r>
      <w:r w:rsidR="009C3437">
        <w:t xml:space="preserve"> voluntary</w:t>
      </w:r>
      <w:r w:rsidRPr="00833509">
        <w:t xml:space="preserve"> PID</w:t>
      </w:r>
    </w:p>
    <w:p w14:paraId="7C1E2675" w14:textId="713BD14F" w:rsidR="001B09FC" w:rsidRPr="00833509" w:rsidRDefault="001B09FC" w:rsidP="00DC6A07">
      <w:pPr>
        <w:pStyle w:val="ListParagraph"/>
      </w:pPr>
      <w:r w:rsidRPr="00833509">
        <w:t xml:space="preserve">to not investigate the serious wrongdoing and not refer the </w:t>
      </w:r>
      <w:r w:rsidR="00C704CE">
        <w:t>report</w:t>
      </w:r>
      <w:r w:rsidR="00C704CE" w:rsidRPr="00833509">
        <w:t xml:space="preserve"> </w:t>
      </w:r>
      <w:r w:rsidRPr="00833509">
        <w:t>to another agency</w:t>
      </w:r>
    </w:p>
    <w:p w14:paraId="0E83942A" w14:textId="5E5A19C1" w:rsidR="00B25B3B" w:rsidRPr="00833509" w:rsidRDefault="001B09FC" w:rsidP="00DC6A07">
      <w:pPr>
        <w:pStyle w:val="ListParagraph"/>
      </w:pPr>
      <w:r w:rsidRPr="00833509">
        <w:t xml:space="preserve">to cease investigating the serious wrongdoing without either completing the investigation or referring the </w:t>
      </w:r>
      <w:r w:rsidR="00C704CE">
        <w:t>report</w:t>
      </w:r>
      <w:r w:rsidR="00530E58">
        <w:t xml:space="preserve"> to another agency for investigation</w:t>
      </w:r>
      <w:r w:rsidR="00D37BBA" w:rsidRPr="00833509">
        <w:t>.</w:t>
      </w:r>
    </w:p>
    <w:p w14:paraId="48822677" w14:textId="3F20BAFE" w:rsidR="002244EF" w:rsidRPr="00833509" w:rsidRDefault="00D37BBA" w:rsidP="00DC6A07">
      <w:pPr>
        <w:pStyle w:val="BodyText"/>
      </w:pPr>
      <w:r w:rsidRPr="00833509">
        <w:t xml:space="preserve">[We/agency name] will </w:t>
      </w:r>
      <w:r w:rsidR="00EC5C20" w:rsidRPr="00833509">
        <w:t>ensure internal reviews are conducted in compliance with the PID Act.</w:t>
      </w:r>
    </w:p>
    <w:p w14:paraId="739C3783" w14:textId="6A447CA5" w:rsidR="002244EF" w:rsidRPr="00833509" w:rsidRDefault="002244EF" w:rsidP="00DC6A07">
      <w:pPr>
        <w:pStyle w:val="BodyText"/>
      </w:pPr>
      <w:r w:rsidRPr="00833509">
        <w:t>If you would like to make an application for an internal review</w:t>
      </w:r>
      <w:r w:rsidR="003B5571">
        <w:t>,</w:t>
      </w:r>
      <w:r w:rsidRPr="00833509">
        <w:t xml:space="preserve"> you must apply in writing within 28 days of being informed of </w:t>
      </w:r>
      <w:r w:rsidR="00CD3964">
        <w:t>[</w:t>
      </w:r>
      <w:r w:rsidR="00073B02" w:rsidRPr="00833509">
        <w:t>our/agency’s name]</w:t>
      </w:r>
      <w:r w:rsidRPr="00833509">
        <w:t xml:space="preserve"> decision. The application should state </w:t>
      </w:r>
      <w:r w:rsidR="00595690">
        <w:t xml:space="preserve">the </w:t>
      </w:r>
      <w:r w:rsidRPr="00833509">
        <w:t xml:space="preserve">reasons why </w:t>
      </w:r>
      <w:r w:rsidR="00F419DA" w:rsidRPr="00833509">
        <w:t>you</w:t>
      </w:r>
      <w:r w:rsidRPr="00833509">
        <w:t xml:space="preserve"> consider </w:t>
      </w:r>
      <w:r w:rsidR="00CD3964">
        <w:t>[</w:t>
      </w:r>
      <w:r w:rsidR="00092507" w:rsidRPr="00833509">
        <w:t>we/agency’s name]</w:t>
      </w:r>
      <w:r w:rsidRPr="00833509">
        <w:t xml:space="preserve"> decision should not have been made.</w:t>
      </w:r>
      <w:r w:rsidR="00DA1C6B" w:rsidRPr="00833509">
        <w:t xml:space="preserve"> You</w:t>
      </w:r>
      <w:r w:rsidRPr="00833509">
        <w:t xml:space="preserve"> may also submit any other relevant material with </w:t>
      </w:r>
      <w:r w:rsidR="00DA1C6B" w:rsidRPr="00833509">
        <w:t>your application.</w:t>
      </w:r>
    </w:p>
    <w:p w14:paraId="31599BE1" w14:textId="77777777" w:rsidR="00812419" w:rsidRDefault="00812419" w:rsidP="002244EF">
      <w:pPr>
        <w:rPr>
          <w:rFonts w:ascii="Arial" w:hAnsi="Arial" w:cs="Arial"/>
          <w:highlight w:val="yellow"/>
        </w:rPr>
      </w:pP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812419" w14:paraId="0C6FA5F2" w14:textId="77777777" w:rsidTr="00DC6A07">
        <w:tc>
          <w:tcPr>
            <w:tcW w:w="9060" w:type="dxa"/>
            <w:shd w:val="clear" w:color="auto" w:fill="CEDDD4"/>
          </w:tcPr>
          <w:p w14:paraId="59EC2F9C" w14:textId="606EC1CC" w:rsidR="00812419" w:rsidRPr="00AA3660" w:rsidRDefault="000A7D1A" w:rsidP="00DC6A07">
            <w:pPr>
              <w:pStyle w:val="Notestyle"/>
            </w:pPr>
            <w:r w:rsidRPr="001036E3">
              <w:rPr>
                <w:b/>
                <w:iCs w:val="0"/>
              </w:rPr>
              <w:t>Guidance</w:t>
            </w:r>
            <w:r w:rsidR="00812419" w:rsidRPr="001036E3">
              <w:rPr>
                <w:iCs w:val="0"/>
              </w:rPr>
              <w:t>:</w:t>
            </w:r>
            <w:r w:rsidR="00812419">
              <w:t xml:space="preserve"> Agencies should include information about </w:t>
            </w:r>
            <w:r w:rsidR="00812419" w:rsidRPr="00AA3660">
              <w:t xml:space="preserve">where </w:t>
            </w:r>
            <w:r w:rsidR="00812419">
              <w:t xml:space="preserve">internal review </w:t>
            </w:r>
            <w:r w:rsidR="00812419" w:rsidRPr="00AA3660">
              <w:t>applications should be sent to, which person or unit within the agency will conduct the review and what timeframes the agency will set for completion of the review.</w:t>
            </w:r>
          </w:p>
          <w:p w14:paraId="6E820110" w14:textId="77777777" w:rsidR="00812419" w:rsidRDefault="00812419" w:rsidP="002244EF">
            <w:pPr>
              <w:rPr>
                <w:rFonts w:ascii="Arial" w:hAnsi="Arial" w:cs="Arial"/>
                <w:highlight w:val="yellow"/>
              </w:rPr>
            </w:pPr>
          </w:p>
        </w:tc>
      </w:tr>
    </w:tbl>
    <w:p w14:paraId="6A1BB25D" w14:textId="77777777" w:rsidR="00812419" w:rsidRPr="002244EF" w:rsidRDefault="00812419" w:rsidP="002244EF">
      <w:pPr>
        <w:rPr>
          <w:rFonts w:ascii="Arial" w:hAnsi="Arial" w:cs="Arial"/>
          <w:highlight w:val="yellow"/>
        </w:rPr>
      </w:pPr>
    </w:p>
    <w:p w14:paraId="0C46EF7C" w14:textId="1058D691" w:rsidR="002244EF" w:rsidRPr="00833509" w:rsidRDefault="0095708D" w:rsidP="00E3369E">
      <w:pPr>
        <w:pStyle w:val="Heading3"/>
        <w:numPr>
          <w:ilvl w:val="0"/>
          <w:numId w:val="20"/>
        </w:numPr>
        <w:ind w:left="567" w:hanging="567"/>
      </w:pPr>
      <w:bookmarkStart w:id="194" w:name="_Toc140251746"/>
      <w:r w:rsidRPr="00833509">
        <w:t xml:space="preserve">Voluntary </w:t>
      </w:r>
      <w:r w:rsidR="000D707B">
        <w:t>d</w:t>
      </w:r>
      <w:r w:rsidR="00F419DA" w:rsidRPr="00833509">
        <w:t xml:space="preserve">ispute </w:t>
      </w:r>
      <w:r w:rsidR="000D707B">
        <w:t>r</w:t>
      </w:r>
      <w:r w:rsidR="00F419DA" w:rsidRPr="00833509">
        <w:t>esolution</w:t>
      </w:r>
      <w:bookmarkEnd w:id="194"/>
    </w:p>
    <w:p w14:paraId="4B18F5BA" w14:textId="7E516919" w:rsidR="00DF26F2" w:rsidRPr="00DC6A07" w:rsidRDefault="0065419C" w:rsidP="00DC6A07">
      <w:pPr>
        <w:pStyle w:val="BodyText"/>
        <w:rPr>
          <w:rFonts w:eastAsia="Calibri"/>
          <w:sz w:val="21"/>
          <w:szCs w:val="21"/>
        </w:rPr>
      </w:pPr>
      <w:r w:rsidRPr="00833509">
        <w:t>If a dispute arises between [us/agency name</w:t>
      </w:r>
      <w:r w:rsidR="00092507" w:rsidRPr="00833509">
        <w:t>]</w:t>
      </w:r>
      <w:r w:rsidRPr="00833509">
        <w:t xml:space="preserve"> and a person who has made </w:t>
      </w:r>
      <w:r w:rsidR="00C704CE">
        <w:t>a report</w:t>
      </w:r>
      <w:r w:rsidR="00E80C0F" w:rsidRPr="00833509">
        <w:t xml:space="preserve"> which is, or may be, </w:t>
      </w:r>
      <w:r w:rsidRPr="00833509">
        <w:t>a voluntary PID, we may request the</w:t>
      </w:r>
      <w:r w:rsidR="00F73418">
        <w:t xml:space="preserve"> NSW</w:t>
      </w:r>
      <w:r w:rsidRPr="00833509">
        <w:t xml:space="preserve"> Ombudsman to conciliate th</w:t>
      </w:r>
      <w:r w:rsidR="00A24CE5">
        <w:t>e</w:t>
      </w:r>
      <w:r w:rsidRPr="00833509">
        <w:t xml:space="preserve"> </w:t>
      </w:r>
      <w:r w:rsidRPr="00F73418">
        <w:t xml:space="preserve">dispute. </w:t>
      </w:r>
      <w:r w:rsidR="0051557B" w:rsidRPr="00F73418">
        <w:rPr>
          <w:rFonts w:eastAsia="Calibri"/>
        </w:rPr>
        <w:t>Conciliation is a voluntary process</w:t>
      </w:r>
      <w:r w:rsidR="00E3579C" w:rsidRPr="00F73418">
        <w:rPr>
          <w:rFonts w:eastAsia="Calibri"/>
        </w:rPr>
        <w:t xml:space="preserve"> and will only </w:t>
      </w:r>
      <w:r w:rsidR="00ED4AA8" w:rsidRPr="00F73418">
        <w:rPr>
          <w:rFonts w:eastAsia="Calibri"/>
        </w:rPr>
        <w:t>be suitable for disputes where [</w:t>
      </w:r>
      <w:r w:rsidR="00750F1F" w:rsidRPr="00F73418">
        <w:rPr>
          <w:rFonts w:eastAsia="Calibri"/>
        </w:rPr>
        <w:t>we/</w:t>
      </w:r>
      <w:r w:rsidR="00072EDE" w:rsidRPr="00F73418">
        <w:rPr>
          <w:rFonts w:eastAsia="Calibri"/>
        </w:rPr>
        <w:t>agency name</w:t>
      </w:r>
      <w:r w:rsidR="00ED4AA8" w:rsidRPr="00F73418">
        <w:rPr>
          <w:rFonts w:eastAsia="Calibri"/>
        </w:rPr>
        <w:t xml:space="preserve">] and the </w:t>
      </w:r>
      <w:r w:rsidR="006D7997" w:rsidRPr="00F73418">
        <w:rPr>
          <w:rFonts w:eastAsia="Calibri"/>
        </w:rPr>
        <w:t xml:space="preserve">maker of the </w:t>
      </w:r>
      <w:r w:rsidR="00C704CE" w:rsidRPr="00F73418">
        <w:rPr>
          <w:rFonts w:eastAsia="Calibri"/>
        </w:rPr>
        <w:t>report</w:t>
      </w:r>
      <w:r w:rsidR="006D7997" w:rsidRPr="00F73418">
        <w:rPr>
          <w:rFonts w:eastAsia="Calibri"/>
        </w:rPr>
        <w:t xml:space="preserve"> </w:t>
      </w:r>
      <w:r w:rsidR="00ED4AA8" w:rsidRPr="00F73418">
        <w:rPr>
          <w:rFonts w:eastAsia="Calibri"/>
        </w:rPr>
        <w:t xml:space="preserve">are willing </w:t>
      </w:r>
      <w:r w:rsidR="00F80BBE" w:rsidRPr="00F73418">
        <w:rPr>
          <w:rFonts w:eastAsia="Calibri"/>
        </w:rPr>
        <w:t>to resolve the dispute</w:t>
      </w:r>
      <w:r w:rsidR="00E3579C" w:rsidRPr="00F73418">
        <w:rPr>
          <w:rFonts w:eastAsia="Calibri"/>
        </w:rPr>
        <w:t>.</w:t>
      </w:r>
    </w:p>
    <w:p w14:paraId="637F718E" w14:textId="2741ACAF" w:rsidR="00000E1D" w:rsidRDefault="00E32E17" w:rsidP="001174A2">
      <w:pPr>
        <w:pStyle w:val="Heading2"/>
        <w:numPr>
          <w:ilvl w:val="0"/>
          <w:numId w:val="23"/>
        </w:numPr>
        <w:ind w:left="567" w:hanging="567"/>
      </w:pPr>
      <w:bookmarkStart w:id="195" w:name="_Toc140251747"/>
      <w:r>
        <w:lastRenderedPageBreak/>
        <w:t>Other agency obligations</w:t>
      </w:r>
      <w:bookmarkEnd w:id="195"/>
      <w:r>
        <w:t xml:space="preserve"> </w:t>
      </w:r>
    </w:p>
    <w:p w14:paraId="4EF7AF2E" w14:textId="3576D4E9" w:rsidR="000E1BCD" w:rsidRPr="008E330E" w:rsidRDefault="00505733" w:rsidP="001174A2">
      <w:pPr>
        <w:pStyle w:val="Heading3"/>
        <w:numPr>
          <w:ilvl w:val="0"/>
          <w:numId w:val="22"/>
        </w:numPr>
        <w:ind w:left="567" w:hanging="567"/>
      </w:pPr>
      <w:bookmarkStart w:id="196" w:name="_Toc140251748"/>
      <w:r w:rsidRPr="008E330E">
        <w:t>Record-keeping requirements</w:t>
      </w:r>
      <w:bookmarkEnd w:id="196"/>
      <w:r w:rsidRPr="008E330E">
        <w:t xml:space="preserve"> </w:t>
      </w:r>
    </w:p>
    <w:p w14:paraId="14C33E41" w14:textId="27D78F04" w:rsidR="00196BF5" w:rsidRDefault="00183C98" w:rsidP="00DC6A07">
      <w:pPr>
        <w:pStyle w:val="BodyText"/>
      </w:pPr>
      <w:r>
        <w:t>[</w:t>
      </w:r>
      <w:r w:rsidR="00263678">
        <w:t>We/</w:t>
      </w:r>
      <w:r w:rsidR="00072EDE">
        <w:t>a</w:t>
      </w:r>
      <w:r w:rsidR="00F279D3">
        <w:t>gency name</w:t>
      </w:r>
      <w:r>
        <w:t>] must</w:t>
      </w:r>
      <w:r w:rsidR="00196BF5" w:rsidRPr="00196BF5">
        <w:t xml:space="preserve"> keep full and accurate records </w:t>
      </w:r>
      <w:r w:rsidR="00505733">
        <w:t xml:space="preserve">with respect to all information received </w:t>
      </w:r>
      <w:r w:rsidR="00A93C6F">
        <w:t xml:space="preserve">in connection </w:t>
      </w:r>
      <w:r w:rsidR="0016613F">
        <w:t>with</w:t>
      </w:r>
      <w:r w:rsidR="00A93C6F">
        <w:t xml:space="preserve"> the PID Act. This ensures that [agency name]</w:t>
      </w:r>
      <w:r w:rsidR="00196BF5" w:rsidRPr="00196BF5">
        <w:t xml:space="preserve"> complies with its obligations under the </w:t>
      </w:r>
      <w:r w:rsidR="00196BF5" w:rsidRPr="00196BF5">
        <w:rPr>
          <w:i/>
          <w:iCs/>
        </w:rPr>
        <w:t>State Records Act 1998</w:t>
      </w:r>
      <w:r w:rsidR="00196BF5" w:rsidRPr="00196BF5">
        <w:t>.</w:t>
      </w:r>
    </w:p>
    <w:tbl>
      <w:tblPr>
        <w:tblStyle w:val="TableGrid"/>
        <w:tblW w:w="0" w:type="auto"/>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898"/>
      </w:tblGrid>
      <w:tr w:rsidR="00812419" w14:paraId="0B9C49E5" w14:textId="77777777" w:rsidTr="00DC6A07">
        <w:tc>
          <w:tcPr>
            <w:tcW w:w="9060" w:type="dxa"/>
            <w:shd w:val="clear" w:color="auto" w:fill="CEDDD4"/>
          </w:tcPr>
          <w:p w14:paraId="1ABACECD" w14:textId="0DCE966D" w:rsidR="00812419" w:rsidRDefault="009E7D58" w:rsidP="00DC6A07">
            <w:pPr>
              <w:pStyle w:val="Notestyle"/>
            </w:pPr>
            <w:r w:rsidRPr="00A15C03">
              <w:rPr>
                <w:b/>
                <w:iCs w:val="0"/>
              </w:rPr>
              <w:t>Guidance</w:t>
            </w:r>
            <w:r w:rsidR="00812419" w:rsidRPr="0093701F">
              <w:t>:</w:t>
            </w:r>
            <w:r w:rsidR="00812419">
              <w:t xml:space="preserve"> Agencies should explain how information is stored and confirm that security/access levels will be applied to all communications regarding </w:t>
            </w:r>
            <w:r w:rsidR="00C704CE">
              <w:t xml:space="preserve">reports </w:t>
            </w:r>
            <w:r w:rsidR="00812419">
              <w:t>made in accordance with the PID Act.</w:t>
            </w:r>
          </w:p>
        </w:tc>
      </w:tr>
    </w:tbl>
    <w:p w14:paraId="03EB261B" w14:textId="77777777" w:rsidR="00196BF5" w:rsidRDefault="00196BF5" w:rsidP="007E5A9F">
      <w:pPr>
        <w:rPr>
          <w:rFonts w:ascii="Arial" w:hAnsi="Arial" w:cs="Arial"/>
          <w:b/>
          <w:bCs/>
        </w:rPr>
      </w:pPr>
    </w:p>
    <w:p w14:paraId="724D7CAF" w14:textId="3BF40392" w:rsidR="00196BF5" w:rsidRPr="00F91CC3" w:rsidRDefault="00861543" w:rsidP="001174A2">
      <w:pPr>
        <w:pStyle w:val="Heading3"/>
        <w:numPr>
          <w:ilvl w:val="0"/>
          <w:numId w:val="22"/>
        </w:numPr>
        <w:ind w:left="567" w:hanging="567"/>
      </w:pPr>
      <w:bookmarkStart w:id="197" w:name="_Toc140251749"/>
      <w:r>
        <w:t>R</w:t>
      </w:r>
      <w:r w:rsidR="00505733" w:rsidRPr="00F91CC3">
        <w:t>eporting of voluntary PIDs and [agency name] annual return to the Ombudsman</w:t>
      </w:r>
      <w:bookmarkEnd w:id="197"/>
      <w:r w:rsidR="00505733" w:rsidRPr="00F91CC3">
        <w:t xml:space="preserve"> </w:t>
      </w:r>
    </w:p>
    <w:p w14:paraId="36844FFA" w14:textId="10A7B810" w:rsidR="00505733" w:rsidRPr="00505733" w:rsidRDefault="00505733" w:rsidP="008969E6">
      <w:pPr>
        <w:pStyle w:val="BodyText"/>
      </w:pPr>
      <w:r w:rsidRPr="00505733">
        <w:t>Each year [</w:t>
      </w:r>
      <w:r w:rsidR="008D692D">
        <w:t>we/</w:t>
      </w:r>
      <w:r w:rsidRPr="00505733">
        <w:t xml:space="preserve">agency name] </w:t>
      </w:r>
      <w:r w:rsidR="00EC3EE4">
        <w:t>provide an</w:t>
      </w:r>
      <w:r w:rsidRPr="00505733">
        <w:t xml:space="preserve"> annual return to the </w:t>
      </w:r>
      <w:r w:rsidR="008D692D">
        <w:t xml:space="preserve">NSW </w:t>
      </w:r>
      <w:r w:rsidRPr="00505733">
        <w:t>Ombudsman which includes:</w:t>
      </w:r>
    </w:p>
    <w:p w14:paraId="61292013" w14:textId="5A788513" w:rsidR="00505733" w:rsidRPr="008969E6" w:rsidRDefault="00505733" w:rsidP="008969E6">
      <w:pPr>
        <w:pStyle w:val="ListParagraph"/>
      </w:pPr>
      <w:r w:rsidRPr="008969E6">
        <w:t>information about voluntary PIDs received by [agency name] during each return period</w:t>
      </w:r>
      <w:r w:rsidR="0052063F" w:rsidRPr="008969E6">
        <w:t xml:space="preserve"> (yearly with the start date being </w:t>
      </w:r>
      <w:r w:rsidR="006C210A" w:rsidRPr="008969E6">
        <w:t>1 July</w:t>
      </w:r>
      <w:r w:rsidR="0052063F" w:rsidRPr="008969E6">
        <w:t>)</w:t>
      </w:r>
    </w:p>
    <w:p w14:paraId="7D832C77" w14:textId="016829B8" w:rsidR="00505733" w:rsidRPr="008969E6" w:rsidRDefault="00505733" w:rsidP="008969E6">
      <w:pPr>
        <w:pStyle w:val="ListParagraph"/>
      </w:pPr>
      <w:r w:rsidRPr="008969E6">
        <w:t>action taken by [agency name] to deal with voluntary PIDs during the return period</w:t>
      </w:r>
    </w:p>
    <w:p w14:paraId="28D7E59D" w14:textId="00A18686" w:rsidR="00812419" w:rsidRDefault="00505733" w:rsidP="008969E6">
      <w:pPr>
        <w:pStyle w:val="ListParagraph"/>
      </w:pPr>
      <w:r w:rsidRPr="008969E6">
        <w:t xml:space="preserve">how [agency name] promoted a culture in the workplace where PIDs are encouraged. </w:t>
      </w:r>
    </w:p>
    <w:p w14:paraId="098BCF51" w14:textId="77777777" w:rsidR="009F0920" w:rsidRPr="00821320" w:rsidRDefault="009F0920" w:rsidP="009F0920">
      <w:pPr>
        <w:pStyle w:val="ListParagraph"/>
        <w:numPr>
          <w:ilvl w:val="0"/>
          <w:numId w:val="0"/>
        </w:numPr>
        <w:ind w:left="567"/>
      </w:pPr>
    </w:p>
    <w:tbl>
      <w:tblPr>
        <w:tblStyle w:val="TableGrid"/>
        <w:tblW w:w="0" w:type="auto"/>
        <w:tblInd w:w="-5" w:type="dxa"/>
        <w:tblBorders>
          <w:top w:val="single" w:sz="4" w:space="0" w:color="0A4047"/>
          <w:left w:val="single" w:sz="4" w:space="0" w:color="0A4047"/>
          <w:bottom w:val="single" w:sz="4" w:space="0" w:color="0A4047"/>
          <w:right w:val="single" w:sz="4" w:space="0" w:color="0A4047"/>
        </w:tblBorders>
        <w:tblLook w:val="04A0" w:firstRow="1" w:lastRow="0" w:firstColumn="1" w:lastColumn="0" w:noHBand="0" w:noVBand="1"/>
      </w:tblPr>
      <w:tblGrid>
        <w:gridCol w:w="8903"/>
      </w:tblGrid>
      <w:tr w:rsidR="00812419" w14:paraId="09B4A6A7" w14:textId="77777777" w:rsidTr="008969E6">
        <w:trPr>
          <w:trHeight w:val="1818"/>
        </w:trPr>
        <w:tc>
          <w:tcPr>
            <w:tcW w:w="9065" w:type="dxa"/>
            <w:shd w:val="clear" w:color="auto" w:fill="CEDDD4"/>
          </w:tcPr>
          <w:p w14:paraId="79F25D96" w14:textId="31A07500" w:rsidR="00812419" w:rsidRPr="00505733" w:rsidRDefault="009E7D58" w:rsidP="008969E6">
            <w:pPr>
              <w:pStyle w:val="Notestyle"/>
            </w:pPr>
            <w:r w:rsidRPr="001036E3">
              <w:rPr>
                <w:b/>
                <w:iCs w:val="0"/>
              </w:rPr>
              <w:t>Guidance</w:t>
            </w:r>
            <w:r w:rsidR="00812419" w:rsidRPr="001036E3">
              <w:rPr>
                <w:iCs w:val="0"/>
              </w:rPr>
              <w:t>:</w:t>
            </w:r>
            <w:r w:rsidR="00812419" w:rsidRPr="00505733">
              <w:t xml:space="preserve"> Agencies should explain:</w:t>
            </w:r>
          </w:p>
          <w:p w14:paraId="61FD4424" w14:textId="092651BF" w:rsidR="00812419" w:rsidRPr="00505733" w:rsidRDefault="00DF26F2" w:rsidP="008969E6">
            <w:pPr>
              <w:pStyle w:val="notestylebullets"/>
            </w:pPr>
            <w:r>
              <w:t>w</w:t>
            </w:r>
            <w:r w:rsidR="00812419" w:rsidRPr="00505733">
              <w:t>ho is responsible for collecting information about voluntary PIDs and the other information captured in the annual re</w:t>
            </w:r>
            <w:r w:rsidR="00812419">
              <w:t>turn</w:t>
            </w:r>
          </w:p>
          <w:p w14:paraId="4C2C14A2" w14:textId="0115FBDB" w:rsidR="00812419" w:rsidRPr="00505733" w:rsidRDefault="00DF26F2" w:rsidP="008969E6">
            <w:pPr>
              <w:pStyle w:val="notestylebullets"/>
            </w:pPr>
            <w:r>
              <w:t>h</w:t>
            </w:r>
            <w:r w:rsidR="00812419" w:rsidRPr="00505733">
              <w:t xml:space="preserve">ow that information </w:t>
            </w:r>
            <w:r w:rsidR="00812419">
              <w:t xml:space="preserve">is </w:t>
            </w:r>
            <w:r w:rsidR="00812419" w:rsidRPr="00505733">
              <w:t>store</w:t>
            </w:r>
            <w:r w:rsidR="00812419">
              <w:t>d</w:t>
            </w:r>
          </w:p>
          <w:p w14:paraId="2CE5DF4F" w14:textId="436BBA71" w:rsidR="00812419" w:rsidRPr="00812419" w:rsidRDefault="00DF26F2" w:rsidP="008969E6">
            <w:pPr>
              <w:pStyle w:val="notestylebullets"/>
            </w:pPr>
            <w:r>
              <w:t>w</w:t>
            </w:r>
            <w:r w:rsidR="00812419" w:rsidRPr="00505733">
              <w:t>ho prepare</w:t>
            </w:r>
            <w:r w:rsidR="00812419">
              <w:t>s</w:t>
            </w:r>
            <w:r w:rsidR="00812419" w:rsidRPr="00505733">
              <w:t xml:space="preserve"> the annual </w:t>
            </w:r>
            <w:r w:rsidR="00812419">
              <w:t>return.</w:t>
            </w:r>
          </w:p>
        </w:tc>
      </w:tr>
    </w:tbl>
    <w:p w14:paraId="5D0B9C5D" w14:textId="0019E27C" w:rsidR="003A68B3" w:rsidRPr="00833509" w:rsidRDefault="0062085B" w:rsidP="001174A2">
      <w:pPr>
        <w:pStyle w:val="Heading3"/>
        <w:numPr>
          <w:ilvl w:val="0"/>
          <w:numId w:val="22"/>
        </w:numPr>
        <w:ind w:left="567" w:hanging="567"/>
      </w:pPr>
      <w:bookmarkStart w:id="198" w:name="_Toc137638966"/>
      <w:bookmarkStart w:id="199" w:name="_Toc136898432"/>
      <w:bookmarkStart w:id="200" w:name="_Toc136935912"/>
      <w:bookmarkStart w:id="201" w:name="_Toc137638967"/>
      <w:bookmarkStart w:id="202" w:name="_Toc140251750"/>
      <w:bookmarkEnd w:id="198"/>
      <w:bookmarkEnd w:id="199"/>
      <w:bookmarkEnd w:id="200"/>
      <w:bookmarkEnd w:id="201"/>
      <w:r w:rsidRPr="00833509">
        <w:t xml:space="preserve">How </w:t>
      </w:r>
      <w:r w:rsidR="00DF26F2">
        <w:t>[</w:t>
      </w:r>
      <w:r w:rsidRPr="00833509">
        <w:t>we/agency name] will ensure compliance with the PID Act and this policy</w:t>
      </w:r>
      <w:bookmarkEnd w:id="202"/>
    </w:p>
    <w:tbl>
      <w:tblPr>
        <w:tblStyle w:val="TableGrid"/>
        <w:tblW w:w="0" w:type="auto"/>
        <w:tblBorders>
          <w:top w:val="single" w:sz="4" w:space="0" w:color="0A4047"/>
          <w:left w:val="single" w:sz="4" w:space="0" w:color="0A4047"/>
          <w:bottom w:val="single" w:sz="4" w:space="0" w:color="0A4047"/>
          <w:right w:val="single" w:sz="4" w:space="0" w:color="0A4047"/>
          <w:insideH w:val="single" w:sz="4" w:space="0" w:color="0A4047"/>
          <w:insideV w:val="single" w:sz="4" w:space="0" w:color="0A4047"/>
        </w:tblBorders>
        <w:tblLook w:val="04A0" w:firstRow="1" w:lastRow="0" w:firstColumn="1" w:lastColumn="0" w:noHBand="0" w:noVBand="1"/>
      </w:tblPr>
      <w:tblGrid>
        <w:gridCol w:w="8898"/>
      </w:tblGrid>
      <w:tr w:rsidR="0062085B" w14:paraId="620B2FCB" w14:textId="77777777" w:rsidTr="00531F1A">
        <w:trPr>
          <w:trHeight w:val="2939"/>
        </w:trPr>
        <w:tc>
          <w:tcPr>
            <w:tcW w:w="9060" w:type="dxa"/>
            <w:shd w:val="clear" w:color="auto" w:fill="CEDDD4"/>
          </w:tcPr>
          <w:p w14:paraId="616DA15F" w14:textId="5C344E10" w:rsidR="0062085B" w:rsidRPr="00833509" w:rsidRDefault="0062085B" w:rsidP="008969E6">
            <w:pPr>
              <w:pStyle w:val="Notestyle"/>
              <w:shd w:val="clear" w:color="auto" w:fill="CEDDD4"/>
            </w:pPr>
            <w:r w:rsidRPr="001036E3">
              <w:rPr>
                <w:b/>
                <w:iCs w:val="0"/>
              </w:rPr>
              <w:t>Guidance</w:t>
            </w:r>
            <w:r w:rsidRPr="001036E3">
              <w:rPr>
                <w:iCs w:val="0"/>
              </w:rPr>
              <w:t>:</w:t>
            </w:r>
            <w:r w:rsidRPr="0062085B">
              <w:rPr>
                <w:b/>
                <w:i/>
              </w:rPr>
              <w:t xml:space="preserve"> </w:t>
            </w:r>
            <w:r w:rsidRPr="00833509">
              <w:t xml:space="preserve">It is important for </w:t>
            </w:r>
            <w:r w:rsidR="00911055">
              <w:t xml:space="preserve">an </w:t>
            </w:r>
            <w:r w:rsidRPr="00833509">
              <w:t>agenc</w:t>
            </w:r>
            <w:r w:rsidR="00911055">
              <w:t>y</w:t>
            </w:r>
            <w:r w:rsidRPr="00833509">
              <w:t xml:space="preserve"> to have mechanisms in place for monitoring the effectiveness of its PID policy and for ensuring compliance with the PID Act. A</w:t>
            </w:r>
            <w:r w:rsidR="00911055">
              <w:t>n a</w:t>
            </w:r>
            <w:r w:rsidRPr="00833509">
              <w:t>genc</w:t>
            </w:r>
            <w:r w:rsidR="00911055">
              <w:t>y</w:t>
            </w:r>
            <w:r w:rsidRPr="00833509">
              <w:t xml:space="preserve"> </w:t>
            </w:r>
            <w:r w:rsidR="008969E6">
              <w:br/>
            </w:r>
            <w:r w:rsidRPr="00833509">
              <w:t>should list:</w:t>
            </w:r>
          </w:p>
          <w:p w14:paraId="45D49A05" w14:textId="4590D8AE" w:rsidR="0062085B" w:rsidRPr="00833509" w:rsidRDefault="00E82EB6" w:rsidP="008969E6">
            <w:pPr>
              <w:pStyle w:val="notestylebullets"/>
              <w:shd w:val="clear" w:color="auto" w:fill="CEDDD4"/>
            </w:pPr>
            <w:r>
              <w:t>w</w:t>
            </w:r>
            <w:r w:rsidR="0062085B" w:rsidRPr="00833509">
              <w:t>hat oversight arrangements will be in place at the agency and who will be responsible for this oversight</w:t>
            </w:r>
          </w:p>
          <w:p w14:paraId="082589DC" w14:textId="7722036A" w:rsidR="0062085B" w:rsidRPr="00833509" w:rsidRDefault="00E82EB6" w:rsidP="008969E6">
            <w:pPr>
              <w:pStyle w:val="notestylebullets"/>
              <w:shd w:val="clear" w:color="auto" w:fill="CEDDD4"/>
            </w:pPr>
            <w:r>
              <w:t>t</w:t>
            </w:r>
            <w:r w:rsidR="0062085B" w:rsidRPr="00833509">
              <w:t xml:space="preserve">he agency’s compliance measures </w:t>
            </w:r>
            <w:r w:rsidR="00337EF3">
              <w:t>—</w:t>
            </w:r>
            <w:r w:rsidR="0062085B" w:rsidRPr="00833509">
              <w:t xml:space="preserve"> will this be through regular audits and reporting (including review timeframes)?</w:t>
            </w:r>
          </w:p>
          <w:p w14:paraId="17629396" w14:textId="03A8F9AE" w:rsidR="0062085B" w:rsidRPr="00833509" w:rsidRDefault="00E82EB6" w:rsidP="008969E6">
            <w:pPr>
              <w:pStyle w:val="notestylebullets"/>
              <w:shd w:val="clear" w:color="auto" w:fill="CEDDD4"/>
            </w:pPr>
            <w:r>
              <w:t>w</w:t>
            </w:r>
            <w:r w:rsidR="0062085B" w:rsidRPr="00833509">
              <w:t xml:space="preserve">hat measures the agency </w:t>
            </w:r>
            <w:r w:rsidR="00911055">
              <w:t xml:space="preserve">will </w:t>
            </w:r>
            <w:r w:rsidR="0062085B" w:rsidRPr="00833509">
              <w:t>take to address non-compliance</w:t>
            </w:r>
          </w:p>
          <w:p w14:paraId="2A0D79ED" w14:textId="047F41E9" w:rsidR="0062085B" w:rsidRPr="0062085B" w:rsidRDefault="00E82EB6" w:rsidP="008969E6">
            <w:pPr>
              <w:pStyle w:val="notestylebullets"/>
              <w:shd w:val="clear" w:color="auto" w:fill="CEDDD4"/>
              <w:rPr>
                <w:b/>
              </w:rPr>
            </w:pPr>
            <w:r>
              <w:t>w</w:t>
            </w:r>
            <w:r w:rsidR="0062085B" w:rsidRPr="00833509">
              <w:t>hether reports about compliance will be provided to audit and risk committees.</w:t>
            </w:r>
          </w:p>
        </w:tc>
      </w:tr>
    </w:tbl>
    <w:p w14:paraId="44E06775" w14:textId="77777777" w:rsidR="003A68B3" w:rsidRDefault="003A68B3" w:rsidP="008969E6">
      <w:pPr>
        <w:spacing w:after="120"/>
        <w:rPr>
          <w:rFonts w:ascii="Arial" w:hAnsi="Arial" w:cs="Arial"/>
          <w:b/>
          <w:bCs/>
        </w:rPr>
      </w:pPr>
    </w:p>
    <w:p w14:paraId="59CC44DF" w14:textId="48DF4BDE" w:rsidR="00CB36D4" w:rsidRDefault="00CB36D4" w:rsidP="008969E6">
      <w:pPr>
        <w:rPr>
          <w:rFonts w:asciiTheme="majorHAnsi" w:eastAsiaTheme="majorEastAsia" w:hAnsiTheme="majorHAnsi" w:cstheme="majorBidi"/>
          <w:color w:val="365F91" w:themeColor="accent1" w:themeShade="BF"/>
          <w:sz w:val="32"/>
          <w:szCs w:val="32"/>
        </w:rPr>
      </w:pPr>
      <w:r>
        <w:br w:type="page"/>
      </w:r>
    </w:p>
    <w:p w14:paraId="21A2F211" w14:textId="211035E1" w:rsidR="00D41C81" w:rsidRPr="008969E6" w:rsidRDefault="00D65548" w:rsidP="008969E6">
      <w:pPr>
        <w:pStyle w:val="Heading2"/>
        <w:numPr>
          <w:ilvl w:val="0"/>
          <w:numId w:val="0"/>
        </w:numPr>
      </w:pPr>
      <w:bookmarkStart w:id="203" w:name="_Toc136847371"/>
      <w:bookmarkStart w:id="204" w:name="_Toc136865186"/>
      <w:bookmarkStart w:id="205" w:name="_Toc136874737"/>
      <w:bookmarkStart w:id="206" w:name="_Toc136898239"/>
      <w:bookmarkStart w:id="207" w:name="_Toc136898433"/>
      <w:bookmarkStart w:id="208" w:name="_Toc140251751"/>
      <w:bookmarkEnd w:id="203"/>
      <w:bookmarkEnd w:id="204"/>
      <w:bookmarkEnd w:id="205"/>
      <w:bookmarkEnd w:id="206"/>
      <w:bookmarkEnd w:id="207"/>
      <w:r w:rsidRPr="008969E6">
        <w:lastRenderedPageBreak/>
        <w:t>A</w:t>
      </w:r>
      <w:r w:rsidR="00D41C81" w:rsidRPr="008969E6">
        <w:t>nnexure</w:t>
      </w:r>
      <w:r w:rsidR="00F46229" w:rsidRPr="008969E6">
        <w:t xml:space="preserve"> </w:t>
      </w:r>
      <w:r w:rsidR="00D41C81" w:rsidRPr="008969E6">
        <w:t xml:space="preserve">A </w:t>
      </w:r>
      <w:r w:rsidR="00337EF3" w:rsidRPr="008969E6">
        <w:t>—</w:t>
      </w:r>
      <w:r w:rsidR="00D41C81" w:rsidRPr="008969E6">
        <w:t xml:space="preserve"> </w:t>
      </w:r>
      <w:r w:rsidR="00716538" w:rsidRPr="008969E6">
        <w:t>Names and contact details of disclosure officer</w:t>
      </w:r>
      <w:r w:rsidR="00353B01" w:rsidRPr="008969E6">
        <w:t>s</w:t>
      </w:r>
      <w:r w:rsidR="00716538" w:rsidRPr="008969E6">
        <w:t xml:space="preserve"> for</w:t>
      </w:r>
      <w:r w:rsidR="00817CAF" w:rsidRPr="008969E6">
        <w:t xml:space="preserve"> </w:t>
      </w:r>
      <w:r w:rsidR="00716538" w:rsidRPr="008969E6">
        <w:t>[agency name]</w:t>
      </w:r>
      <w:bookmarkEnd w:id="208"/>
      <w:r w:rsidR="00D41C81" w:rsidRPr="008969E6">
        <w:t xml:space="preserve"> </w:t>
      </w:r>
    </w:p>
    <w:p w14:paraId="3DCBDF95" w14:textId="77777777" w:rsidR="00392CDF" w:rsidRDefault="00392CDF">
      <w:pPr>
        <w:rPr>
          <w:rFonts w:ascii="Arial" w:eastAsiaTheme="majorEastAsia" w:hAnsi="Arial" w:cs="Arial"/>
          <w:b/>
          <w:bCs/>
          <w:sz w:val="26"/>
          <w:szCs w:val="26"/>
        </w:rPr>
      </w:pPr>
      <w:r>
        <w:rPr>
          <w:rFonts w:ascii="Arial" w:hAnsi="Arial" w:cs="Arial"/>
          <w:b/>
          <w:bCs/>
          <w:sz w:val="26"/>
          <w:szCs w:val="26"/>
        </w:rPr>
        <w:br w:type="page"/>
      </w:r>
    </w:p>
    <w:p w14:paraId="1576D005" w14:textId="20941BDC" w:rsidR="009011F6" w:rsidRPr="0067048C" w:rsidRDefault="001254DD" w:rsidP="00940D38">
      <w:pPr>
        <w:pStyle w:val="Heading2"/>
        <w:numPr>
          <w:ilvl w:val="0"/>
          <w:numId w:val="0"/>
        </w:numPr>
        <w:ind w:left="357" w:hanging="357"/>
        <w:rPr>
          <w:rFonts w:cs="Calibri"/>
        </w:rPr>
      </w:pPr>
      <w:bookmarkStart w:id="209" w:name="_Toc140251752"/>
      <w:r w:rsidRPr="0067048C">
        <w:rPr>
          <w:rFonts w:cs="Calibri"/>
        </w:rPr>
        <w:lastRenderedPageBreak/>
        <w:t xml:space="preserve">Annexure B </w:t>
      </w:r>
      <w:r w:rsidR="00337EF3" w:rsidRPr="0067048C">
        <w:rPr>
          <w:rFonts w:cs="Calibri"/>
        </w:rPr>
        <w:t>—</w:t>
      </w:r>
      <w:r w:rsidRPr="0067048C">
        <w:rPr>
          <w:rFonts w:cs="Calibri"/>
        </w:rPr>
        <w:t xml:space="preserve"> </w:t>
      </w:r>
      <w:r w:rsidR="00DF26F2" w:rsidRPr="0067048C">
        <w:rPr>
          <w:rFonts w:cs="Calibri"/>
        </w:rPr>
        <w:t>L</w:t>
      </w:r>
      <w:r w:rsidRPr="0067048C">
        <w:rPr>
          <w:rFonts w:cs="Calibri"/>
        </w:rPr>
        <w:t>ist of integrity agencies</w:t>
      </w:r>
      <w:bookmarkEnd w:id="209"/>
    </w:p>
    <w:tbl>
      <w:tblPr>
        <w:tblStyle w:val="TableGrid"/>
        <w:tblW w:w="9209" w:type="dxa"/>
        <w:tblLayout w:type="fixed"/>
        <w:tblLook w:val="04A0" w:firstRow="1" w:lastRow="0" w:firstColumn="1" w:lastColumn="0" w:noHBand="0" w:noVBand="1"/>
      </w:tblPr>
      <w:tblGrid>
        <w:gridCol w:w="2263"/>
        <w:gridCol w:w="2552"/>
        <w:gridCol w:w="4394"/>
      </w:tblGrid>
      <w:tr w:rsidR="009011F6" w:rsidRPr="0067048C" w14:paraId="4303AEAA" w14:textId="77777777" w:rsidTr="00940D38">
        <w:trPr>
          <w:cantSplit/>
        </w:trPr>
        <w:tc>
          <w:tcPr>
            <w:tcW w:w="2263" w:type="dxa"/>
            <w:tcBorders>
              <w:top w:val="single" w:sz="4" w:space="0" w:color="0A4047"/>
              <w:left w:val="single" w:sz="4" w:space="0" w:color="0A4047"/>
              <w:bottom w:val="single" w:sz="4" w:space="0" w:color="0A4047"/>
              <w:right w:val="single" w:sz="4" w:space="0" w:color="FFFFFF" w:themeColor="background1"/>
            </w:tcBorders>
            <w:shd w:val="clear" w:color="auto" w:fill="0A4047"/>
          </w:tcPr>
          <w:p w14:paraId="6EBBF10C" w14:textId="1954AC2C" w:rsidR="009011F6" w:rsidRPr="0067048C" w:rsidRDefault="009011F6" w:rsidP="003D17D7">
            <w:pPr>
              <w:pStyle w:val="Tableheadingtext"/>
            </w:pPr>
            <w:r w:rsidRPr="0067048C">
              <w:t>Integrity agency</w:t>
            </w:r>
          </w:p>
        </w:tc>
        <w:tc>
          <w:tcPr>
            <w:tcW w:w="2552" w:type="dxa"/>
            <w:tcBorders>
              <w:top w:val="single" w:sz="4" w:space="0" w:color="0A4047"/>
              <w:left w:val="single" w:sz="4" w:space="0" w:color="FFFFFF" w:themeColor="background1"/>
              <w:bottom w:val="single" w:sz="4" w:space="0" w:color="0A4047"/>
              <w:right w:val="single" w:sz="4" w:space="0" w:color="FFFFFF" w:themeColor="background1"/>
            </w:tcBorders>
            <w:shd w:val="clear" w:color="auto" w:fill="0A4047"/>
          </w:tcPr>
          <w:p w14:paraId="3B1B5DAF" w14:textId="77777777" w:rsidR="009011F6" w:rsidRPr="0067048C" w:rsidRDefault="009011F6" w:rsidP="003D17D7">
            <w:pPr>
              <w:pStyle w:val="Tableheadingtext"/>
            </w:pPr>
            <w:r w:rsidRPr="0067048C">
              <w:t>What they investigate</w:t>
            </w:r>
          </w:p>
        </w:tc>
        <w:tc>
          <w:tcPr>
            <w:tcW w:w="4394" w:type="dxa"/>
            <w:tcBorders>
              <w:top w:val="single" w:sz="4" w:space="0" w:color="0A4047"/>
              <w:left w:val="single" w:sz="4" w:space="0" w:color="FFFFFF" w:themeColor="background1"/>
              <w:bottom w:val="single" w:sz="4" w:space="0" w:color="0A4047"/>
              <w:right w:val="single" w:sz="4" w:space="0" w:color="0A4047"/>
            </w:tcBorders>
            <w:shd w:val="clear" w:color="auto" w:fill="0A4047"/>
          </w:tcPr>
          <w:p w14:paraId="23E5D406" w14:textId="3DB9817A" w:rsidR="009011F6" w:rsidRPr="0067048C" w:rsidRDefault="009011F6" w:rsidP="003D17D7">
            <w:pPr>
              <w:pStyle w:val="Tableheadingtext"/>
            </w:pPr>
            <w:r w:rsidRPr="0067048C">
              <w:t>Contact information</w:t>
            </w:r>
          </w:p>
        </w:tc>
      </w:tr>
      <w:tr w:rsidR="009011F6" w:rsidRPr="0067048C" w14:paraId="12F450CB" w14:textId="77777777" w:rsidTr="00940D38">
        <w:trPr>
          <w:cantSplit/>
        </w:trPr>
        <w:tc>
          <w:tcPr>
            <w:tcW w:w="2263" w:type="dxa"/>
            <w:tcBorders>
              <w:top w:val="single" w:sz="4" w:space="0" w:color="0A4047"/>
              <w:left w:val="single" w:sz="4" w:space="0" w:color="0A4047"/>
              <w:bottom w:val="single" w:sz="4" w:space="0" w:color="0A4047"/>
              <w:right w:val="single" w:sz="4" w:space="0" w:color="0A4047"/>
            </w:tcBorders>
          </w:tcPr>
          <w:p w14:paraId="7F508A58" w14:textId="34688EF7" w:rsidR="009011F6" w:rsidRPr="0067048C" w:rsidRDefault="009011F6" w:rsidP="003D17D7">
            <w:pPr>
              <w:pStyle w:val="tablelefttext"/>
              <w:rPr>
                <w:rFonts w:cs="Calibri"/>
              </w:rPr>
            </w:pPr>
            <w:r w:rsidRPr="0067048C">
              <w:rPr>
                <w:rFonts w:cs="Calibri"/>
              </w:rPr>
              <w:t>The</w:t>
            </w:r>
            <w:r w:rsidR="002E4192">
              <w:rPr>
                <w:rFonts w:cs="Calibri"/>
              </w:rPr>
              <w:t xml:space="preserve"> NSW</w:t>
            </w:r>
            <w:r w:rsidRPr="0067048C">
              <w:rPr>
                <w:rFonts w:cs="Calibri"/>
              </w:rPr>
              <w:t xml:space="preserve"> Ombudsman</w:t>
            </w:r>
          </w:p>
        </w:tc>
        <w:tc>
          <w:tcPr>
            <w:tcW w:w="2552" w:type="dxa"/>
            <w:tcBorders>
              <w:top w:val="single" w:sz="4" w:space="0" w:color="0A4047"/>
              <w:left w:val="single" w:sz="4" w:space="0" w:color="0A4047"/>
              <w:bottom w:val="single" w:sz="4" w:space="0" w:color="0A4047"/>
              <w:right w:val="single" w:sz="4" w:space="0" w:color="0A4047"/>
            </w:tcBorders>
          </w:tcPr>
          <w:p w14:paraId="4FD842F6" w14:textId="77777777" w:rsidR="009011F6" w:rsidRPr="0067048C" w:rsidRDefault="009011F6" w:rsidP="003D17D7">
            <w:pPr>
              <w:pStyle w:val="tablerightstyle"/>
              <w:rPr>
                <w:rFonts w:cs="Calibri"/>
              </w:rPr>
            </w:pPr>
            <w:r w:rsidRPr="0067048C">
              <w:rPr>
                <w:rFonts w:cs="Calibri"/>
              </w:rPr>
              <w:t xml:space="preserve">Most kinds of </w:t>
            </w:r>
            <w:r w:rsidRPr="0067048C">
              <w:rPr>
                <w:rFonts w:cs="Calibri"/>
                <w:b/>
                <w:bCs/>
              </w:rPr>
              <w:t>serious maladministration</w:t>
            </w:r>
            <w:r w:rsidRPr="0067048C">
              <w:rPr>
                <w:rFonts w:cs="Calibri"/>
              </w:rPr>
              <w:t xml:space="preserve"> by most agencies and public officials (but not NSW Police, judicial officers or MPs)</w:t>
            </w:r>
          </w:p>
        </w:tc>
        <w:tc>
          <w:tcPr>
            <w:tcW w:w="4394" w:type="dxa"/>
            <w:tcBorders>
              <w:top w:val="single" w:sz="4" w:space="0" w:color="0A4047"/>
              <w:left w:val="single" w:sz="4" w:space="0" w:color="0A4047"/>
              <w:bottom w:val="single" w:sz="4" w:space="0" w:color="0A4047"/>
              <w:right w:val="single" w:sz="4" w:space="0" w:color="0A4047"/>
            </w:tcBorders>
          </w:tcPr>
          <w:p w14:paraId="368DADE9" w14:textId="77777777" w:rsidR="009011F6" w:rsidRPr="0067048C" w:rsidRDefault="009011F6" w:rsidP="003D17D7">
            <w:pPr>
              <w:pStyle w:val="tablerightstyle"/>
              <w:rPr>
                <w:rFonts w:cs="Calibri"/>
              </w:rPr>
            </w:pPr>
            <w:r w:rsidRPr="0067048C">
              <w:rPr>
                <w:rFonts w:cs="Calibri"/>
                <w:b/>
                <w:bCs/>
              </w:rPr>
              <w:t>Telephone</w:t>
            </w:r>
            <w:r w:rsidRPr="0067048C">
              <w:rPr>
                <w:rFonts w:cs="Calibri"/>
              </w:rPr>
              <w:t>:</w:t>
            </w:r>
            <w:r w:rsidRPr="0067048C">
              <w:rPr>
                <w:rFonts w:cs="Calibri"/>
                <w:color w:val="434343"/>
                <w:shd w:val="clear" w:color="auto" w:fill="FFFFFF"/>
              </w:rPr>
              <w:t xml:space="preserve"> </w:t>
            </w:r>
            <w:r w:rsidRPr="0067048C">
              <w:rPr>
                <w:rFonts w:cs="Calibri"/>
              </w:rPr>
              <w:t>1800 451 524 between 9am to 3pm Monday to Friday</w:t>
            </w:r>
          </w:p>
          <w:p w14:paraId="7455959D" w14:textId="6CFD925F" w:rsidR="009011F6" w:rsidRPr="0067048C" w:rsidRDefault="009011F6" w:rsidP="003D17D7">
            <w:pPr>
              <w:pStyle w:val="tablerightstyle"/>
              <w:rPr>
                <w:rFonts w:cs="Calibri"/>
              </w:rPr>
            </w:pPr>
            <w:r w:rsidRPr="0067048C">
              <w:rPr>
                <w:rFonts w:cs="Calibri"/>
                <w:b/>
                <w:bCs/>
              </w:rPr>
              <w:t>Writing</w:t>
            </w:r>
            <w:r w:rsidRPr="0067048C">
              <w:rPr>
                <w:rFonts w:cs="Calibri"/>
              </w:rPr>
              <w:t xml:space="preserve">: Level 24, 580 George Street, </w:t>
            </w:r>
            <w:r w:rsidR="00940D38" w:rsidRPr="0067048C">
              <w:rPr>
                <w:rFonts w:cs="Calibri"/>
              </w:rPr>
              <w:br/>
            </w:r>
            <w:r w:rsidRPr="0067048C">
              <w:rPr>
                <w:rFonts w:cs="Calibri"/>
              </w:rPr>
              <w:t>Sydney NSW 2000</w:t>
            </w:r>
          </w:p>
          <w:p w14:paraId="12599D4D" w14:textId="77777777" w:rsidR="009011F6" w:rsidRPr="0067048C" w:rsidRDefault="009011F6" w:rsidP="003D17D7">
            <w:pPr>
              <w:pStyle w:val="tablerightstyle"/>
              <w:rPr>
                <w:rFonts w:cs="Calibri"/>
              </w:rPr>
            </w:pPr>
            <w:r w:rsidRPr="0067048C">
              <w:rPr>
                <w:rFonts w:cs="Calibri"/>
                <w:b/>
                <w:bCs/>
              </w:rPr>
              <w:t>Email</w:t>
            </w:r>
            <w:r w:rsidRPr="0067048C">
              <w:rPr>
                <w:rFonts w:cs="Calibri"/>
              </w:rPr>
              <w:t xml:space="preserve">: </w:t>
            </w:r>
            <w:r w:rsidRPr="0067048C">
              <w:rPr>
                <w:rFonts w:cs="Calibri"/>
                <w:color w:val="0A4047"/>
                <w:u w:val="single"/>
              </w:rPr>
              <w:t>info@ombo.nsw.gov.au</w:t>
            </w:r>
          </w:p>
        </w:tc>
      </w:tr>
      <w:tr w:rsidR="009011F6" w:rsidRPr="0067048C" w14:paraId="15D9EECB" w14:textId="77777777" w:rsidTr="00940D38">
        <w:trPr>
          <w:cantSplit/>
        </w:trPr>
        <w:tc>
          <w:tcPr>
            <w:tcW w:w="2263" w:type="dxa"/>
            <w:tcBorders>
              <w:top w:val="single" w:sz="4" w:space="0" w:color="0A4047"/>
              <w:left w:val="single" w:sz="4" w:space="0" w:color="0A4047"/>
              <w:bottom w:val="single" w:sz="4" w:space="0" w:color="0A4047"/>
              <w:right w:val="single" w:sz="4" w:space="0" w:color="0A4047"/>
            </w:tcBorders>
          </w:tcPr>
          <w:p w14:paraId="41CC299A" w14:textId="3E461A16" w:rsidR="009011F6" w:rsidRPr="0067048C" w:rsidRDefault="009011F6" w:rsidP="003D17D7">
            <w:pPr>
              <w:pStyle w:val="tablelefttext"/>
              <w:rPr>
                <w:rFonts w:cs="Calibri"/>
              </w:rPr>
            </w:pPr>
            <w:r w:rsidRPr="0067048C">
              <w:rPr>
                <w:rFonts w:cs="Calibri"/>
              </w:rPr>
              <w:t>The Auditor</w:t>
            </w:r>
            <w:r w:rsidR="00C5210F" w:rsidRPr="0067048C">
              <w:rPr>
                <w:rFonts w:cs="Calibri"/>
              </w:rPr>
              <w:t>-</w:t>
            </w:r>
            <w:r w:rsidRPr="0067048C">
              <w:rPr>
                <w:rFonts w:cs="Calibri"/>
              </w:rPr>
              <w:t xml:space="preserve">General </w:t>
            </w:r>
          </w:p>
        </w:tc>
        <w:tc>
          <w:tcPr>
            <w:tcW w:w="2552" w:type="dxa"/>
            <w:tcBorders>
              <w:top w:val="single" w:sz="4" w:space="0" w:color="0A4047"/>
              <w:left w:val="single" w:sz="4" w:space="0" w:color="0A4047"/>
              <w:bottom w:val="single" w:sz="4" w:space="0" w:color="0A4047"/>
              <w:right w:val="single" w:sz="4" w:space="0" w:color="0A4047"/>
            </w:tcBorders>
          </w:tcPr>
          <w:p w14:paraId="5064D914" w14:textId="77777777" w:rsidR="009011F6" w:rsidRPr="0067048C" w:rsidRDefault="009011F6" w:rsidP="003D17D7">
            <w:pPr>
              <w:pStyle w:val="tablerightstyle"/>
              <w:rPr>
                <w:rFonts w:cs="Calibri"/>
              </w:rPr>
            </w:pPr>
            <w:r w:rsidRPr="0067048C">
              <w:rPr>
                <w:rFonts w:cs="Calibri"/>
                <w:b/>
                <w:bCs/>
              </w:rPr>
              <w:t>Serious and substantial waste of public money</w:t>
            </w:r>
            <w:r w:rsidRPr="0067048C">
              <w:rPr>
                <w:rFonts w:cs="Calibri"/>
              </w:rPr>
              <w:t xml:space="preserve"> by auditable agencies</w:t>
            </w:r>
          </w:p>
        </w:tc>
        <w:tc>
          <w:tcPr>
            <w:tcW w:w="4394" w:type="dxa"/>
            <w:tcBorders>
              <w:top w:val="single" w:sz="4" w:space="0" w:color="0A4047"/>
              <w:left w:val="single" w:sz="4" w:space="0" w:color="0A4047"/>
              <w:bottom w:val="single" w:sz="4" w:space="0" w:color="0A4047"/>
              <w:right w:val="single" w:sz="4" w:space="0" w:color="0A4047"/>
            </w:tcBorders>
          </w:tcPr>
          <w:p w14:paraId="47E8AFD4" w14:textId="77777777" w:rsidR="009011F6" w:rsidRPr="0067048C" w:rsidRDefault="009011F6" w:rsidP="003D17D7">
            <w:pPr>
              <w:pStyle w:val="tablerightstyle"/>
              <w:rPr>
                <w:rFonts w:cs="Calibri"/>
              </w:rPr>
            </w:pPr>
            <w:r w:rsidRPr="0067048C">
              <w:rPr>
                <w:rFonts w:cs="Calibri"/>
                <w:b/>
                <w:bCs/>
              </w:rPr>
              <w:t>Telephone</w:t>
            </w:r>
            <w:r w:rsidRPr="0067048C">
              <w:rPr>
                <w:rFonts w:cs="Calibri"/>
              </w:rPr>
              <w:t>: 02 9275 7100</w:t>
            </w:r>
          </w:p>
          <w:p w14:paraId="44AE3082" w14:textId="77777777" w:rsidR="009011F6" w:rsidRPr="0067048C" w:rsidRDefault="009011F6" w:rsidP="003D17D7">
            <w:pPr>
              <w:pStyle w:val="tablerightstyle"/>
              <w:rPr>
                <w:rFonts w:cs="Calibri"/>
              </w:rPr>
            </w:pPr>
            <w:r w:rsidRPr="0067048C">
              <w:rPr>
                <w:rFonts w:cs="Calibri"/>
                <w:b/>
                <w:bCs/>
              </w:rPr>
              <w:t>Writing</w:t>
            </w:r>
            <w:r w:rsidRPr="0067048C">
              <w:rPr>
                <w:rFonts w:cs="Calibri"/>
              </w:rPr>
              <w:t>: GPO Box 12, Sydney NSW 2001</w:t>
            </w:r>
          </w:p>
          <w:p w14:paraId="6987B28E" w14:textId="22638181" w:rsidR="009011F6" w:rsidRPr="0067048C" w:rsidRDefault="009011F6" w:rsidP="003D17D7">
            <w:pPr>
              <w:pStyle w:val="tablerightstyle"/>
              <w:rPr>
                <w:rFonts w:cs="Calibri"/>
              </w:rPr>
            </w:pPr>
            <w:r w:rsidRPr="0067048C">
              <w:rPr>
                <w:rFonts w:cs="Calibri"/>
                <w:b/>
                <w:bCs/>
              </w:rPr>
              <w:t>Email</w:t>
            </w:r>
            <w:r w:rsidRPr="0067048C">
              <w:rPr>
                <w:rFonts w:cs="Calibri"/>
              </w:rPr>
              <w:t xml:space="preserve">: </w:t>
            </w:r>
            <w:r w:rsidR="003042BB" w:rsidRPr="0067048C">
              <w:rPr>
                <w:rFonts w:eastAsia="Calibri" w:cs="Calibri"/>
                <w:color w:val="0A4047"/>
                <w:u w:val="single"/>
              </w:rPr>
              <w:t>governance@audit.nsw.gov.au</w:t>
            </w:r>
            <w:r w:rsidR="003042BB" w:rsidRPr="0067048C" w:rsidDel="003042BB">
              <w:rPr>
                <w:rFonts w:cs="Calibri"/>
                <w:color w:val="0A4047"/>
              </w:rPr>
              <w:t xml:space="preserve"> </w:t>
            </w:r>
          </w:p>
        </w:tc>
      </w:tr>
      <w:tr w:rsidR="009011F6" w:rsidRPr="0067048C" w14:paraId="7702C7C1" w14:textId="77777777" w:rsidTr="00940D38">
        <w:trPr>
          <w:cantSplit/>
          <w:trHeight w:val="268"/>
        </w:trPr>
        <w:tc>
          <w:tcPr>
            <w:tcW w:w="2263" w:type="dxa"/>
            <w:tcBorders>
              <w:top w:val="single" w:sz="4" w:space="0" w:color="0A4047"/>
              <w:left w:val="single" w:sz="4" w:space="0" w:color="0A4047"/>
              <w:bottom w:val="single" w:sz="4" w:space="0" w:color="0A4047"/>
              <w:right w:val="single" w:sz="4" w:space="0" w:color="0A4047"/>
            </w:tcBorders>
          </w:tcPr>
          <w:p w14:paraId="64AAA93A" w14:textId="77777777" w:rsidR="009011F6" w:rsidRPr="0067048C" w:rsidRDefault="009011F6" w:rsidP="003D17D7">
            <w:pPr>
              <w:pStyle w:val="tablelefttext"/>
              <w:rPr>
                <w:rFonts w:cs="Calibri"/>
              </w:rPr>
            </w:pPr>
            <w:r w:rsidRPr="0067048C">
              <w:rPr>
                <w:rFonts w:cs="Calibri"/>
              </w:rPr>
              <w:t xml:space="preserve">Independent Commission Against Corruption </w:t>
            </w:r>
          </w:p>
          <w:p w14:paraId="022AFADA" w14:textId="77777777" w:rsidR="009011F6" w:rsidRPr="0067048C" w:rsidRDefault="009011F6" w:rsidP="003D17D7">
            <w:pPr>
              <w:pStyle w:val="tablelefttext"/>
              <w:rPr>
                <w:rFonts w:cs="Calibri"/>
              </w:rPr>
            </w:pPr>
          </w:p>
        </w:tc>
        <w:tc>
          <w:tcPr>
            <w:tcW w:w="2552" w:type="dxa"/>
            <w:tcBorders>
              <w:top w:val="single" w:sz="4" w:space="0" w:color="0A4047"/>
              <w:left w:val="single" w:sz="4" w:space="0" w:color="0A4047"/>
              <w:bottom w:val="single" w:sz="4" w:space="0" w:color="0A4047"/>
              <w:right w:val="single" w:sz="4" w:space="0" w:color="0A4047"/>
            </w:tcBorders>
          </w:tcPr>
          <w:p w14:paraId="45E63C6F" w14:textId="77777777" w:rsidR="009011F6" w:rsidRPr="0067048C" w:rsidRDefault="009011F6" w:rsidP="003D17D7">
            <w:pPr>
              <w:pStyle w:val="tablerightstyle"/>
              <w:rPr>
                <w:rFonts w:cs="Calibri"/>
                <w:i/>
                <w:iCs/>
              </w:rPr>
            </w:pPr>
            <w:r w:rsidRPr="0067048C">
              <w:rPr>
                <w:rFonts w:cs="Calibri"/>
                <w:b/>
                <w:bCs/>
              </w:rPr>
              <w:t>Corrupt conduct</w:t>
            </w:r>
          </w:p>
        </w:tc>
        <w:tc>
          <w:tcPr>
            <w:tcW w:w="4394" w:type="dxa"/>
            <w:tcBorders>
              <w:top w:val="single" w:sz="4" w:space="0" w:color="0A4047"/>
              <w:left w:val="single" w:sz="4" w:space="0" w:color="0A4047"/>
              <w:bottom w:val="single" w:sz="4" w:space="0" w:color="0A4047"/>
              <w:right w:val="single" w:sz="4" w:space="0" w:color="0A4047"/>
            </w:tcBorders>
          </w:tcPr>
          <w:p w14:paraId="07A96FE8" w14:textId="77777777" w:rsidR="00940D38" w:rsidRPr="0067048C" w:rsidRDefault="009011F6" w:rsidP="003D17D7">
            <w:pPr>
              <w:pStyle w:val="tablerightstyle"/>
              <w:rPr>
                <w:rFonts w:cs="Calibri"/>
              </w:rPr>
            </w:pPr>
            <w:r w:rsidRPr="0067048C">
              <w:rPr>
                <w:rFonts w:cs="Calibri"/>
                <w:b/>
                <w:bCs/>
              </w:rPr>
              <w:t>Telephone</w:t>
            </w:r>
            <w:r w:rsidRPr="0067048C">
              <w:rPr>
                <w:rFonts w:cs="Calibri"/>
              </w:rPr>
              <w:t xml:space="preserve">: 02 8281 5999 or toll free on </w:t>
            </w:r>
            <w:r w:rsidR="00940D38" w:rsidRPr="0067048C">
              <w:rPr>
                <w:rFonts w:cs="Calibri"/>
              </w:rPr>
              <w:br/>
            </w:r>
            <w:r w:rsidRPr="0067048C">
              <w:rPr>
                <w:rFonts w:cs="Calibri"/>
              </w:rPr>
              <w:t>1800 463 909 (callers outside Sydney) between 9am and 3pm, Monday to Friday</w:t>
            </w:r>
          </w:p>
          <w:p w14:paraId="2A798E30" w14:textId="77777777" w:rsidR="00940D38" w:rsidRPr="0067048C" w:rsidRDefault="009011F6" w:rsidP="003D17D7">
            <w:pPr>
              <w:pStyle w:val="tablerightstyle"/>
              <w:rPr>
                <w:rFonts w:cs="Calibri"/>
              </w:rPr>
            </w:pPr>
            <w:r w:rsidRPr="0067048C">
              <w:rPr>
                <w:rFonts w:cs="Calibri"/>
                <w:b/>
                <w:bCs/>
              </w:rPr>
              <w:t>Writing:</w:t>
            </w:r>
            <w:r w:rsidRPr="0067048C">
              <w:rPr>
                <w:rFonts w:cs="Calibri"/>
              </w:rPr>
              <w:t xml:space="preserve"> GPO Box 500</w:t>
            </w:r>
            <w:r w:rsidR="00911055" w:rsidRPr="0067048C">
              <w:rPr>
                <w:rFonts w:cs="Calibri"/>
              </w:rPr>
              <w:t>,</w:t>
            </w:r>
            <w:r w:rsidRPr="0067048C">
              <w:rPr>
                <w:rFonts w:cs="Calibri"/>
              </w:rPr>
              <w:t xml:space="preserve"> Sydney NSW 2001 </w:t>
            </w:r>
            <w:r w:rsidR="00940D38" w:rsidRPr="0067048C">
              <w:rPr>
                <w:rFonts w:cs="Calibri"/>
              </w:rPr>
              <w:br/>
            </w:r>
            <w:r w:rsidRPr="0067048C">
              <w:rPr>
                <w:rFonts w:cs="Calibri"/>
              </w:rPr>
              <w:t>or faxing 02 9264 5364</w:t>
            </w:r>
          </w:p>
          <w:p w14:paraId="2CA953DB" w14:textId="70E55EFA" w:rsidR="009011F6" w:rsidRPr="0067048C" w:rsidRDefault="009011F6" w:rsidP="003D17D7">
            <w:pPr>
              <w:pStyle w:val="tablerightstyle"/>
              <w:rPr>
                <w:rFonts w:cs="Calibri"/>
              </w:rPr>
            </w:pPr>
            <w:r w:rsidRPr="0067048C">
              <w:rPr>
                <w:rFonts w:cs="Calibri"/>
                <w:b/>
                <w:bCs/>
              </w:rPr>
              <w:t>Email</w:t>
            </w:r>
            <w:r w:rsidRPr="0067048C">
              <w:rPr>
                <w:rFonts w:cs="Calibri"/>
              </w:rPr>
              <w:t xml:space="preserve">: </w:t>
            </w:r>
            <w:r w:rsidRPr="0067048C">
              <w:rPr>
                <w:rFonts w:cs="Calibri"/>
                <w:color w:val="0A4047"/>
                <w:u w:val="single"/>
              </w:rPr>
              <w:t>icac@icac.nsw.gov.au</w:t>
            </w:r>
          </w:p>
        </w:tc>
      </w:tr>
      <w:tr w:rsidR="009011F6" w:rsidRPr="0067048C" w14:paraId="6266FEB1" w14:textId="77777777" w:rsidTr="00940D38">
        <w:trPr>
          <w:cantSplit/>
          <w:trHeight w:val="268"/>
        </w:trPr>
        <w:tc>
          <w:tcPr>
            <w:tcW w:w="2263" w:type="dxa"/>
            <w:tcBorders>
              <w:top w:val="single" w:sz="4" w:space="0" w:color="0A4047"/>
              <w:left w:val="single" w:sz="4" w:space="0" w:color="0A4047"/>
              <w:bottom w:val="single" w:sz="4" w:space="0" w:color="0A4047"/>
              <w:right w:val="single" w:sz="4" w:space="0" w:color="0A4047"/>
            </w:tcBorders>
          </w:tcPr>
          <w:p w14:paraId="296C507D" w14:textId="1DFC21DB" w:rsidR="009011F6" w:rsidRPr="0067048C" w:rsidRDefault="009011F6" w:rsidP="003D17D7">
            <w:pPr>
              <w:pStyle w:val="tablelefttext"/>
              <w:rPr>
                <w:rFonts w:cs="Calibri"/>
              </w:rPr>
            </w:pPr>
            <w:r w:rsidRPr="0067048C">
              <w:rPr>
                <w:rFonts w:cs="Calibri"/>
              </w:rPr>
              <w:t>The Inspector of the Independent Commission Against Corruption</w:t>
            </w:r>
          </w:p>
        </w:tc>
        <w:tc>
          <w:tcPr>
            <w:tcW w:w="2552" w:type="dxa"/>
            <w:tcBorders>
              <w:top w:val="single" w:sz="4" w:space="0" w:color="0A4047"/>
              <w:left w:val="single" w:sz="4" w:space="0" w:color="0A4047"/>
              <w:bottom w:val="single" w:sz="4" w:space="0" w:color="0A4047"/>
              <w:right w:val="single" w:sz="4" w:space="0" w:color="0A4047"/>
            </w:tcBorders>
          </w:tcPr>
          <w:p w14:paraId="3B588ACD" w14:textId="79E8DDFA" w:rsidR="009011F6" w:rsidRPr="0067048C" w:rsidRDefault="009011F6" w:rsidP="003D17D7">
            <w:pPr>
              <w:pStyle w:val="tablerightstyle"/>
              <w:rPr>
                <w:rFonts w:cs="Calibri"/>
                <w:b/>
                <w:bCs/>
              </w:rPr>
            </w:pPr>
            <w:r w:rsidRPr="0067048C">
              <w:rPr>
                <w:rFonts w:cs="Calibri"/>
                <w:b/>
                <w:bCs/>
              </w:rPr>
              <w:t xml:space="preserve">Serious maladministration </w:t>
            </w:r>
            <w:r w:rsidRPr="0067048C">
              <w:rPr>
                <w:rFonts w:cs="Calibri"/>
              </w:rPr>
              <w:t xml:space="preserve">by </w:t>
            </w:r>
            <w:r w:rsidR="00E07303" w:rsidRPr="0067048C">
              <w:rPr>
                <w:rFonts w:cs="Calibri"/>
              </w:rPr>
              <w:t xml:space="preserve">the </w:t>
            </w:r>
            <w:r w:rsidRPr="0067048C">
              <w:rPr>
                <w:rFonts w:cs="Calibri"/>
              </w:rPr>
              <w:t xml:space="preserve">ICAC or </w:t>
            </w:r>
            <w:r w:rsidR="00E07303" w:rsidRPr="0067048C">
              <w:rPr>
                <w:rFonts w:cs="Calibri"/>
              </w:rPr>
              <w:t xml:space="preserve">the </w:t>
            </w:r>
            <w:r w:rsidRPr="0067048C">
              <w:rPr>
                <w:rFonts w:cs="Calibri"/>
              </w:rPr>
              <w:t>ICAC officers</w:t>
            </w:r>
          </w:p>
        </w:tc>
        <w:tc>
          <w:tcPr>
            <w:tcW w:w="4394" w:type="dxa"/>
            <w:tcBorders>
              <w:top w:val="single" w:sz="4" w:space="0" w:color="0A4047"/>
              <w:left w:val="single" w:sz="4" w:space="0" w:color="0A4047"/>
              <w:bottom w:val="single" w:sz="4" w:space="0" w:color="0A4047"/>
              <w:right w:val="single" w:sz="4" w:space="0" w:color="0A4047"/>
            </w:tcBorders>
          </w:tcPr>
          <w:p w14:paraId="4ED1A793" w14:textId="77777777" w:rsidR="009011F6" w:rsidRPr="0067048C" w:rsidRDefault="009011F6" w:rsidP="003D17D7">
            <w:pPr>
              <w:pStyle w:val="tablerightstyle"/>
              <w:rPr>
                <w:rFonts w:cs="Calibri"/>
              </w:rPr>
            </w:pPr>
            <w:r w:rsidRPr="0067048C">
              <w:rPr>
                <w:rFonts w:cs="Calibri"/>
                <w:b/>
                <w:bCs/>
              </w:rPr>
              <w:t>Telephone</w:t>
            </w:r>
            <w:r w:rsidRPr="0067048C">
              <w:rPr>
                <w:rFonts w:cs="Calibri"/>
              </w:rPr>
              <w:t>:</w:t>
            </w:r>
            <w:r w:rsidRPr="0067048C">
              <w:rPr>
                <w:rFonts w:cs="Calibri"/>
                <w:b/>
                <w:bCs/>
              </w:rPr>
              <w:t xml:space="preserve"> </w:t>
            </w:r>
            <w:r w:rsidRPr="0067048C">
              <w:rPr>
                <w:rFonts w:cs="Calibri"/>
              </w:rPr>
              <w:t>02 9228 3023</w:t>
            </w:r>
          </w:p>
          <w:p w14:paraId="5C1688B8" w14:textId="77777777" w:rsidR="009011F6" w:rsidRPr="0067048C" w:rsidRDefault="009011F6" w:rsidP="003D17D7">
            <w:pPr>
              <w:pStyle w:val="tablerightstyle"/>
              <w:rPr>
                <w:rFonts w:cs="Calibri"/>
              </w:rPr>
            </w:pPr>
            <w:r w:rsidRPr="0067048C">
              <w:rPr>
                <w:rFonts w:cs="Calibri"/>
                <w:b/>
                <w:bCs/>
              </w:rPr>
              <w:t>Writing</w:t>
            </w:r>
            <w:r w:rsidRPr="0067048C">
              <w:rPr>
                <w:rFonts w:cs="Calibri"/>
              </w:rPr>
              <w:t>: PO Box 5341, Sydney NSW 2001</w:t>
            </w:r>
          </w:p>
          <w:p w14:paraId="6787DE46" w14:textId="57D1CED1" w:rsidR="009011F6" w:rsidRPr="0067048C" w:rsidRDefault="009011F6" w:rsidP="003D17D7">
            <w:pPr>
              <w:pStyle w:val="tablerightstyle"/>
              <w:rPr>
                <w:rFonts w:cs="Calibri"/>
                <w:b/>
                <w:bCs/>
              </w:rPr>
            </w:pPr>
            <w:r w:rsidRPr="0067048C">
              <w:rPr>
                <w:rFonts w:cs="Calibri"/>
                <w:b/>
                <w:bCs/>
              </w:rPr>
              <w:t>Email</w:t>
            </w:r>
            <w:r w:rsidRPr="0067048C">
              <w:rPr>
                <w:rFonts w:cs="Calibri"/>
              </w:rPr>
              <w:t>:</w:t>
            </w:r>
            <w:r w:rsidRPr="0067048C">
              <w:rPr>
                <w:rFonts w:cs="Calibri"/>
                <w:color w:val="222222"/>
                <w:shd w:val="clear" w:color="auto" w:fill="FFFFFF"/>
              </w:rPr>
              <w:t> </w:t>
            </w:r>
            <w:hyperlink r:id="rId14" w:history="1">
              <w:r w:rsidRPr="0067048C">
                <w:rPr>
                  <w:rFonts w:cs="Calibri"/>
                  <w:color w:val="0A4047"/>
                  <w:u w:val="single"/>
                </w:rPr>
                <w:t>oiicac_executive@oiicac.nsw.gov.au</w:t>
              </w:r>
            </w:hyperlink>
          </w:p>
        </w:tc>
      </w:tr>
      <w:tr w:rsidR="009011F6" w:rsidRPr="0067048C" w14:paraId="52C1E863" w14:textId="77777777" w:rsidTr="00940D38">
        <w:trPr>
          <w:cantSplit/>
        </w:trPr>
        <w:tc>
          <w:tcPr>
            <w:tcW w:w="2263" w:type="dxa"/>
            <w:tcBorders>
              <w:top w:val="single" w:sz="4" w:space="0" w:color="0A4047"/>
              <w:left w:val="single" w:sz="4" w:space="0" w:color="0A4047"/>
              <w:bottom w:val="single" w:sz="4" w:space="0" w:color="0A4047"/>
              <w:right w:val="single" w:sz="4" w:space="0" w:color="0A4047"/>
            </w:tcBorders>
          </w:tcPr>
          <w:p w14:paraId="2445AF48" w14:textId="77777777" w:rsidR="009011F6" w:rsidRPr="0067048C" w:rsidRDefault="009011F6" w:rsidP="003D17D7">
            <w:pPr>
              <w:pStyle w:val="tablelefttext"/>
              <w:rPr>
                <w:rFonts w:cs="Calibri"/>
              </w:rPr>
            </w:pPr>
            <w:r w:rsidRPr="0067048C">
              <w:rPr>
                <w:rFonts w:cs="Calibri"/>
              </w:rPr>
              <w:t>The Law Enforcement Conduct Commission </w:t>
            </w:r>
          </w:p>
          <w:p w14:paraId="206234F9" w14:textId="77777777" w:rsidR="009011F6" w:rsidRPr="0067048C" w:rsidRDefault="009011F6" w:rsidP="003D17D7">
            <w:pPr>
              <w:pStyle w:val="tablelefttext"/>
              <w:rPr>
                <w:rFonts w:cs="Calibri"/>
              </w:rPr>
            </w:pPr>
          </w:p>
        </w:tc>
        <w:tc>
          <w:tcPr>
            <w:tcW w:w="2552" w:type="dxa"/>
            <w:tcBorders>
              <w:top w:val="single" w:sz="4" w:space="0" w:color="0A4047"/>
              <w:left w:val="single" w:sz="4" w:space="0" w:color="0A4047"/>
              <w:bottom w:val="single" w:sz="4" w:space="0" w:color="0A4047"/>
              <w:right w:val="single" w:sz="4" w:space="0" w:color="0A4047"/>
            </w:tcBorders>
          </w:tcPr>
          <w:p w14:paraId="729709CC" w14:textId="77777777" w:rsidR="009011F6" w:rsidRPr="0067048C" w:rsidRDefault="009011F6" w:rsidP="003D17D7">
            <w:pPr>
              <w:pStyle w:val="tablerightstyle"/>
              <w:rPr>
                <w:rFonts w:cs="Calibri"/>
              </w:rPr>
            </w:pPr>
            <w:r w:rsidRPr="0067048C">
              <w:rPr>
                <w:rFonts w:cs="Calibri"/>
                <w:b/>
                <w:bCs/>
              </w:rPr>
              <w:t>Serious maladministration</w:t>
            </w:r>
            <w:r w:rsidRPr="0067048C">
              <w:rPr>
                <w:rFonts w:cs="Calibri"/>
              </w:rPr>
              <w:t xml:space="preserve"> by the NSW Police Force or the NSW Crime Commission </w:t>
            </w:r>
          </w:p>
        </w:tc>
        <w:tc>
          <w:tcPr>
            <w:tcW w:w="4394" w:type="dxa"/>
            <w:tcBorders>
              <w:top w:val="single" w:sz="4" w:space="0" w:color="0A4047"/>
              <w:left w:val="single" w:sz="4" w:space="0" w:color="0A4047"/>
              <w:bottom w:val="single" w:sz="4" w:space="0" w:color="0A4047"/>
              <w:right w:val="single" w:sz="4" w:space="0" w:color="0A4047"/>
            </w:tcBorders>
          </w:tcPr>
          <w:p w14:paraId="275FD30B" w14:textId="77777777" w:rsidR="009011F6" w:rsidRPr="0067048C" w:rsidRDefault="009011F6" w:rsidP="003D17D7">
            <w:pPr>
              <w:pStyle w:val="tablerightstyle"/>
              <w:rPr>
                <w:rFonts w:cs="Calibri"/>
              </w:rPr>
            </w:pPr>
            <w:r w:rsidRPr="0067048C">
              <w:rPr>
                <w:rFonts w:cs="Calibri"/>
                <w:b/>
                <w:bCs/>
              </w:rPr>
              <w:t>Telephone</w:t>
            </w:r>
            <w:r w:rsidRPr="0067048C">
              <w:rPr>
                <w:rFonts w:cs="Calibri"/>
              </w:rPr>
              <w:t>: 02 9321 6700 or 1800 657 079</w:t>
            </w:r>
          </w:p>
          <w:p w14:paraId="22301142" w14:textId="4C913902" w:rsidR="009011F6" w:rsidRPr="0067048C" w:rsidRDefault="009011F6" w:rsidP="003D17D7">
            <w:pPr>
              <w:pStyle w:val="tablerightstyle"/>
              <w:rPr>
                <w:rFonts w:cs="Calibri"/>
              </w:rPr>
            </w:pPr>
            <w:r w:rsidRPr="0067048C">
              <w:rPr>
                <w:rFonts w:cs="Calibri"/>
                <w:b/>
                <w:bCs/>
              </w:rPr>
              <w:t>Writing</w:t>
            </w:r>
            <w:r w:rsidRPr="0067048C">
              <w:rPr>
                <w:rFonts w:cs="Calibri"/>
              </w:rPr>
              <w:t>: GPO Box 3880</w:t>
            </w:r>
            <w:r w:rsidR="00911055" w:rsidRPr="0067048C">
              <w:rPr>
                <w:rFonts w:cs="Calibri"/>
              </w:rPr>
              <w:t>,</w:t>
            </w:r>
            <w:r w:rsidRPr="0067048C">
              <w:rPr>
                <w:rFonts w:cs="Calibri"/>
              </w:rPr>
              <w:t xml:space="preserve"> Sydney NSW 2001</w:t>
            </w:r>
          </w:p>
          <w:p w14:paraId="2912D6A9" w14:textId="77777777" w:rsidR="009011F6" w:rsidRPr="0067048C" w:rsidRDefault="009011F6" w:rsidP="003D17D7">
            <w:pPr>
              <w:pStyle w:val="tablerightstyle"/>
              <w:rPr>
                <w:rFonts w:cs="Calibri"/>
              </w:rPr>
            </w:pPr>
            <w:r w:rsidRPr="0067048C">
              <w:rPr>
                <w:rFonts w:cs="Calibri"/>
                <w:b/>
                <w:bCs/>
              </w:rPr>
              <w:t>Email</w:t>
            </w:r>
            <w:r w:rsidRPr="0067048C">
              <w:rPr>
                <w:rFonts w:cs="Calibri"/>
              </w:rPr>
              <w:t xml:space="preserve">: </w:t>
            </w:r>
            <w:r w:rsidRPr="0067048C">
              <w:rPr>
                <w:rFonts w:cs="Calibri"/>
                <w:color w:val="0A4047"/>
                <w:u w:val="single"/>
              </w:rPr>
              <w:t>contactus@lecc.nsw.gov.au</w:t>
            </w:r>
          </w:p>
        </w:tc>
      </w:tr>
      <w:tr w:rsidR="009011F6" w:rsidRPr="0067048C" w14:paraId="0274DAC5" w14:textId="77777777" w:rsidTr="00940D38">
        <w:trPr>
          <w:cantSplit/>
          <w:trHeight w:val="1532"/>
        </w:trPr>
        <w:tc>
          <w:tcPr>
            <w:tcW w:w="2263" w:type="dxa"/>
            <w:tcBorders>
              <w:top w:val="single" w:sz="4" w:space="0" w:color="0A4047"/>
              <w:left w:val="single" w:sz="4" w:space="0" w:color="0A4047"/>
              <w:bottom w:val="single" w:sz="4" w:space="0" w:color="0A4047"/>
              <w:right w:val="single" w:sz="4" w:space="0" w:color="0A4047"/>
            </w:tcBorders>
          </w:tcPr>
          <w:p w14:paraId="4A11D323" w14:textId="4F8F7305" w:rsidR="009011F6" w:rsidRPr="0067048C" w:rsidRDefault="009011F6" w:rsidP="003D17D7">
            <w:pPr>
              <w:pStyle w:val="tablelefttext"/>
              <w:rPr>
                <w:rFonts w:cs="Calibri"/>
              </w:rPr>
            </w:pPr>
            <w:r w:rsidRPr="0067048C">
              <w:rPr>
                <w:rFonts w:cs="Calibri"/>
              </w:rPr>
              <w:t>The Inspector of the Law Enforcement Conduct Commission</w:t>
            </w:r>
            <w:r w:rsidRPr="0067048C">
              <w:rPr>
                <w:rFonts w:cs="Calibri"/>
              </w:rPr>
              <w:br/>
            </w:r>
          </w:p>
        </w:tc>
        <w:tc>
          <w:tcPr>
            <w:tcW w:w="2552" w:type="dxa"/>
            <w:tcBorders>
              <w:top w:val="single" w:sz="4" w:space="0" w:color="0A4047"/>
              <w:left w:val="single" w:sz="4" w:space="0" w:color="0A4047"/>
              <w:bottom w:val="single" w:sz="4" w:space="0" w:color="0A4047"/>
              <w:right w:val="single" w:sz="4" w:space="0" w:color="0A4047"/>
            </w:tcBorders>
          </w:tcPr>
          <w:p w14:paraId="28DDCC25" w14:textId="77777777" w:rsidR="009011F6" w:rsidRPr="0067048C" w:rsidRDefault="009011F6" w:rsidP="003D17D7">
            <w:pPr>
              <w:pStyle w:val="tablerightstyle"/>
              <w:rPr>
                <w:rFonts w:cs="Calibri"/>
                <w:b/>
                <w:bCs/>
              </w:rPr>
            </w:pPr>
            <w:r w:rsidRPr="0067048C">
              <w:rPr>
                <w:rFonts w:cs="Calibri"/>
                <w:b/>
                <w:bCs/>
              </w:rPr>
              <w:t xml:space="preserve">Serious maladministration </w:t>
            </w:r>
            <w:r w:rsidRPr="0067048C">
              <w:rPr>
                <w:rFonts w:cs="Calibri"/>
              </w:rPr>
              <w:t xml:space="preserve">by the LECC and LECC officers </w:t>
            </w:r>
          </w:p>
        </w:tc>
        <w:tc>
          <w:tcPr>
            <w:tcW w:w="4394" w:type="dxa"/>
            <w:tcBorders>
              <w:top w:val="single" w:sz="4" w:space="0" w:color="0A4047"/>
              <w:left w:val="single" w:sz="4" w:space="0" w:color="0A4047"/>
              <w:bottom w:val="single" w:sz="4" w:space="0" w:color="0A4047"/>
              <w:right w:val="single" w:sz="4" w:space="0" w:color="0A4047"/>
            </w:tcBorders>
          </w:tcPr>
          <w:p w14:paraId="5FED6688" w14:textId="77777777" w:rsidR="009011F6" w:rsidRPr="0067048C" w:rsidRDefault="009011F6" w:rsidP="003D17D7">
            <w:pPr>
              <w:pStyle w:val="tablerightstyle"/>
              <w:rPr>
                <w:rFonts w:cs="Calibri"/>
                <w:b/>
                <w:bCs/>
              </w:rPr>
            </w:pPr>
            <w:r w:rsidRPr="0067048C">
              <w:rPr>
                <w:rFonts w:cs="Calibri"/>
                <w:b/>
                <w:bCs/>
              </w:rPr>
              <w:t>Telephone</w:t>
            </w:r>
            <w:r w:rsidRPr="0067048C">
              <w:rPr>
                <w:rFonts w:cs="Calibri"/>
              </w:rPr>
              <w:t>: 02 9228 3023</w:t>
            </w:r>
            <w:r w:rsidRPr="0067048C">
              <w:rPr>
                <w:rFonts w:cs="Calibri"/>
                <w:b/>
                <w:bCs/>
              </w:rPr>
              <w:t> </w:t>
            </w:r>
          </w:p>
          <w:p w14:paraId="31834700" w14:textId="75A4B3A1" w:rsidR="009011F6" w:rsidRPr="0067048C" w:rsidRDefault="009011F6" w:rsidP="003D17D7">
            <w:pPr>
              <w:pStyle w:val="tablerightstyle"/>
              <w:rPr>
                <w:rFonts w:cs="Calibri"/>
              </w:rPr>
            </w:pPr>
            <w:r w:rsidRPr="0067048C">
              <w:rPr>
                <w:rFonts w:cs="Calibri"/>
                <w:b/>
                <w:bCs/>
              </w:rPr>
              <w:t>Writing</w:t>
            </w:r>
            <w:r w:rsidRPr="0067048C">
              <w:rPr>
                <w:rFonts w:cs="Calibri"/>
              </w:rPr>
              <w:t>:</w:t>
            </w:r>
            <w:r w:rsidRPr="0067048C">
              <w:rPr>
                <w:rFonts w:cs="Calibri"/>
                <w:b/>
                <w:bCs/>
              </w:rPr>
              <w:t xml:space="preserve"> </w:t>
            </w:r>
            <w:r w:rsidRPr="0067048C">
              <w:rPr>
                <w:rFonts w:cs="Calibri"/>
              </w:rPr>
              <w:t>GPO Box 5341</w:t>
            </w:r>
            <w:r w:rsidR="00911055" w:rsidRPr="0067048C">
              <w:rPr>
                <w:rFonts w:cs="Calibri"/>
              </w:rPr>
              <w:t>,</w:t>
            </w:r>
            <w:r w:rsidRPr="0067048C">
              <w:rPr>
                <w:rFonts w:cs="Calibri"/>
              </w:rPr>
              <w:t> </w:t>
            </w:r>
            <w:r w:rsidRPr="0067048C">
              <w:rPr>
                <w:rFonts w:cs="Calibri"/>
              </w:rPr>
              <w:br/>
              <w:t>Sydney NSW 2001</w:t>
            </w:r>
          </w:p>
          <w:p w14:paraId="69873122" w14:textId="6C8F0891" w:rsidR="009011F6" w:rsidRPr="0067048C" w:rsidRDefault="009011F6" w:rsidP="003D17D7">
            <w:pPr>
              <w:pStyle w:val="tablerightstyle"/>
              <w:rPr>
                <w:rFonts w:cs="Calibri"/>
              </w:rPr>
            </w:pPr>
            <w:r w:rsidRPr="0067048C">
              <w:rPr>
                <w:rFonts w:cs="Calibri"/>
                <w:b/>
                <w:bCs/>
              </w:rPr>
              <w:t>Email</w:t>
            </w:r>
            <w:r w:rsidRPr="0067048C">
              <w:rPr>
                <w:rFonts w:cs="Calibri"/>
              </w:rPr>
              <w:t>:</w:t>
            </w:r>
            <w:r w:rsidRPr="0067048C">
              <w:rPr>
                <w:rFonts w:cs="Calibri"/>
                <w:b/>
                <w:bCs/>
              </w:rPr>
              <w:t> </w:t>
            </w:r>
            <w:hyperlink r:id="rId15" w:history="1">
              <w:r w:rsidRPr="0067048C">
                <w:rPr>
                  <w:rStyle w:val="Hyperlink"/>
                  <w:rFonts w:cs="Calibri"/>
                  <w:color w:val="0A4047"/>
                </w:rPr>
                <w:t>oilecc_executive@oilecc.nsw.gov.au</w:t>
              </w:r>
            </w:hyperlink>
          </w:p>
        </w:tc>
      </w:tr>
      <w:tr w:rsidR="009011F6" w:rsidRPr="0067048C" w14:paraId="15981B60" w14:textId="77777777" w:rsidTr="00940D38">
        <w:trPr>
          <w:cantSplit/>
        </w:trPr>
        <w:tc>
          <w:tcPr>
            <w:tcW w:w="2263" w:type="dxa"/>
            <w:tcBorders>
              <w:top w:val="single" w:sz="4" w:space="0" w:color="0A4047"/>
              <w:left w:val="single" w:sz="4" w:space="0" w:color="0A4047"/>
              <w:bottom w:val="single" w:sz="4" w:space="0" w:color="0A4047"/>
              <w:right w:val="single" w:sz="4" w:space="0" w:color="0A4047"/>
            </w:tcBorders>
          </w:tcPr>
          <w:p w14:paraId="57F95CE1" w14:textId="77777777" w:rsidR="009011F6" w:rsidRPr="0067048C" w:rsidRDefault="009011F6" w:rsidP="003D17D7">
            <w:pPr>
              <w:pStyle w:val="tablelefttext"/>
              <w:rPr>
                <w:rFonts w:cs="Calibri"/>
              </w:rPr>
            </w:pPr>
            <w:r w:rsidRPr="0067048C">
              <w:rPr>
                <w:rFonts w:cs="Calibri"/>
              </w:rPr>
              <w:t xml:space="preserve">Office of the Local Government </w:t>
            </w:r>
          </w:p>
        </w:tc>
        <w:tc>
          <w:tcPr>
            <w:tcW w:w="2552" w:type="dxa"/>
            <w:tcBorders>
              <w:top w:val="single" w:sz="4" w:space="0" w:color="0A4047"/>
              <w:left w:val="single" w:sz="4" w:space="0" w:color="0A4047"/>
              <w:bottom w:val="single" w:sz="4" w:space="0" w:color="0A4047"/>
              <w:right w:val="single" w:sz="4" w:space="0" w:color="0A4047"/>
            </w:tcBorders>
          </w:tcPr>
          <w:p w14:paraId="36E9A12E" w14:textId="4648A234" w:rsidR="009011F6" w:rsidRPr="0067048C" w:rsidRDefault="009011F6" w:rsidP="003D17D7">
            <w:pPr>
              <w:pStyle w:val="tablerightstyle"/>
              <w:rPr>
                <w:rFonts w:cs="Calibri"/>
                <w:b/>
                <w:bCs/>
              </w:rPr>
            </w:pPr>
            <w:r w:rsidRPr="0067048C">
              <w:rPr>
                <w:rFonts w:cs="Calibri"/>
                <w:b/>
                <w:bCs/>
              </w:rPr>
              <w:t xml:space="preserve">Local government pecuniary interest contraventions </w:t>
            </w:r>
          </w:p>
        </w:tc>
        <w:tc>
          <w:tcPr>
            <w:tcW w:w="4394" w:type="dxa"/>
            <w:tcBorders>
              <w:top w:val="single" w:sz="4" w:space="0" w:color="0A4047"/>
              <w:left w:val="single" w:sz="4" w:space="0" w:color="0A4047"/>
              <w:bottom w:val="single" w:sz="4" w:space="0" w:color="0A4047"/>
              <w:right w:val="single" w:sz="4" w:space="0" w:color="0A4047"/>
            </w:tcBorders>
          </w:tcPr>
          <w:p w14:paraId="3BD92CCA" w14:textId="26F811F3" w:rsidR="009011F6" w:rsidRPr="0067048C" w:rsidRDefault="009011F6" w:rsidP="003D17D7">
            <w:pPr>
              <w:pStyle w:val="tablerightstyle"/>
              <w:rPr>
                <w:rFonts w:cs="Calibri"/>
                <w:b/>
                <w:bCs/>
              </w:rPr>
            </w:pPr>
            <w:r w:rsidRPr="0067048C">
              <w:rPr>
                <w:rFonts w:cs="Calibri"/>
                <w:b/>
                <w:bCs/>
              </w:rPr>
              <w:t>Email</w:t>
            </w:r>
            <w:r w:rsidRPr="0067048C">
              <w:rPr>
                <w:rFonts w:cs="Calibri"/>
              </w:rPr>
              <w:t>:</w:t>
            </w:r>
            <w:r w:rsidRPr="0067048C">
              <w:rPr>
                <w:rFonts w:cs="Calibri"/>
                <w:b/>
                <w:bCs/>
              </w:rPr>
              <w:t xml:space="preserve"> </w:t>
            </w:r>
            <w:hyperlink r:id="rId16" w:history="1">
              <w:r w:rsidRPr="0067048C">
                <w:rPr>
                  <w:rStyle w:val="Hyperlink"/>
                  <w:rFonts w:cs="Calibri"/>
                  <w:color w:val="0A4047"/>
                </w:rPr>
                <w:t>olg@olg.nsw.gov.au</w:t>
              </w:r>
            </w:hyperlink>
          </w:p>
        </w:tc>
      </w:tr>
      <w:tr w:rsidR="009011F6" w:rsidRPr="0067048C" w14:paraId="637059ED" w14:textId="77777777" w:rsidTr="00940D38">
        <w:trPr>
          <w:cantSplit/>
        </w:trPr>
        <w:tc>
          <w:tcPr>
            <w:tcW w:w="2263" w:type="dxa"/>
            <w:tcBorders>
              <w:top w:val="single" w:sz="4" w:space="0" w:color="0A4047"/>
              <w:left w:val="single" w:sz="4" w:space="0" w:color="0A4047"/>
              <w:bottom w:val="single" w:sz="4" w:space="0" w:color="0A4047"/>
              <w:right w:val="single" w:sz="4" w:space="0" w:color="0A4047"/>
            </w:tcBorders>
          </w:tcPr>
          <w:p w14:paraId="075EEB20" w14:textId="77777777" w:rsidR="009011F6" w:rsidRPr="0067048C" w:rsidRDefault="009011F6" w:rsidP="003D17D7">
            <w:pPr>
              <w:pStyle w:val="tablelefttext"/>
              <w:rPr>
                <w:rFonts w:cs="Calibri"/>
              </w:rPr>
            </w:pPr>
            <w:r w:rsidRPr="0067048C">
              <w:rPr>
                <w:rFonts w:cs="Calibri"/>
              </w:rPr>
              <w:t>The Privacy Commissioner</w:t>
            </w:r>
          </w:p>
          <w:p w14:paraId="5F6ED568" w14:textId="77777777" w:rsidR="009011F6" w:rsidRPr="0067048C" w:rsidRDefault="009011F6" w:rsidP="003D17D7">
            <w:pPr>
              <w:pStyle w:val="tablelefttext"/>
              <w:rPr>
                <w:rFonts w:cs="Calibri"/>
              </w:rPr>
            </w:pPr>
          </w:p>
        </w:tc>
        <w:tc>
          <w:tcPr>
            <w:tcW w:w="2552" w:type="dxa"/>
            <w:tcBorders>
              <w:top w:val="single" w:sz="4" w:space="0" w:color="0A4047"/>
              <w:left w:val="single" w:sz="4" w:space="0" w:color="0A4047"/>
              <w:bottom w:val="single" w:sz="4" w:space="0" w:color="0A4047"/>
              <w:right w:val="single" w:sz="4" w:space="0" w:color="0A4047"/>
            </w:tcBorders>
          </w:tcPr>
          <w:p w14:paraId="39FDEC1F" w14:textId="77777777" w:rsidR="009011F6" w:rsidRPr="0067048C" w:rsidRDefault="009011F6" w:rsidP="003D17D7">
            <w:pPr>
              <w:pStyle w:val="tablerightstyle"/>
              <w:rPr>
                <w:rFonts w:cs="Calibri"/>
                <w:i/>
                <w:iCs/>
              </w:rPr>
            </w:pPr>
            <w:r w:rsidRPr="0067048C">
              <w:rPr>
                <w:rFonts w:cs="Calibri"/>
                <w:b/>
                <w:bCs/>
              </w:rPr>
              <w:t>Privacy contraventions</w:t>
            </w:r>
          </w:p>
        </w:tc>
        <w:tc>
          <w:tcPr>
            <w:tcW w:w="4394" w:type="dxa"/>
            <w:tcBorders>
              <w:top w:val="single" w:sz="4" w:space="0" w:color="0A4047"/>
              <w:left w:val="single" w:sz="4" w:space="0" w:color="0A4047"/>
              <w:bottom w:val="single" w:sz="4" w:space="0" w:color="0A4047"/>
              <w:right w:val="single" w:sz="4" w:space="0" w:color="0A4047"/>
            </w:tcBorders>
          </w:tcPr>
          <w:p w14:paraId="5D5825F8" w14:textId="77777777" w:rsidR="009011F6" w:rsidRPr="0067048C" w:rsidRDefault="009011F6" w:rsidP="003D17D7">
            <w:pPr>
              <w:pStyle w:val="tablerightstyle"/>
              <w:rPr>
                <w:rFonts w:cs="Calibri"/>
              </w:rPr>
            </w:pPr>
            <w:r w:rsidRPr="0067048C">
              <w:rPr>
                <w:rFonts w:cs="Calibri"/>
                <w:b/>
                <w:bCs/>
              </w:rPr>
              <w:t>Telephone</w:t>
            </w:r>
            <w:r w:rsidRPr="0067048C">
              <w:rPr>
                <w:rFonts w:cs="Calibri"/>
              </w:rPr>
              <w:t>: 1800 472 679</w:t>
            </w:r>
          </w:p>
          <w:p w14:paraId="19B58A97" w14:textId="77777777" w:rsidR="009011F6" w:rsidRPr="0067048C" w:rsidRDefault="009011F6" w:rsidP="003D17D7">
            <w:pPr>
              <w:pStyle w:val="tablerightstyle"/>
              <w:rPr>
                <w:rFonts w:cs="Calibri"/>
              </w:rPr>
            </w:pPr>
            <w:r w:rsidRPr="0067048C">
              <w:rPr>
                <w:rFonts w:cs="Calibri"/>
                <w:b/>
                <w:bCs/>
              </w:rPr>
              <w:t>Writing</w:t>
            </w:r>
            <w:r w:rsidRPr="0067048C">
              <w:rPr>
                <w:rFonts w:cs="Calibri"/>
              </w:rPr>
              <w:t>: GPO Box 7011, Sydney NSW 2001</w:t>
            </w:r>
          </w:p>
          <w:p w14:paraId="6492811E" w14:textId="77777777" w:rsidR="009011F6" w:rsidRPr="0067048C" w:rsidRDefault="009011F6" w:rsidP="003D17D7">
            <w:pPr>
              <w:pStyle w:val="tablerightstyle"/>
              <w:rPr>
                <w:rFonts w:cs="Calibri"/>
              </w:rPr>
            </w:pPr>
            <w:r w:rsidRPr="0067048C">
              <w:rPr>
                <w:rFonts w:cs="Calibri"/>
                <w:b/>
                <w:bCs/>
              </w:rPr>
              <w:t>Email</w:t>
            </w:r>
            <w:r w:rsidRPr="0067048C">
              <w:rPr>
                <w:rFonts w:cs="Calibri"/>
              </w:rPr>
              <w:t xml:space="preserve">: </w:t>
            </w:r>
            <w:r w:rsidRPr="0067048C">
              <w:rPr>
                <w:rFonts w:cs="Calibri"/>
                <w:color w:val="0A4047"/>
                <w:u w:val="single"/>
              </w:rPr>
              <w:t>ipcinfo@ipc.nsw.gov.au</w:t>
            </w:r>
          </w:p>
        </w:tc>
      </w:tr>
      <w:tr w:rsidR="009011F6" w:rsidRPr="0067048C" w14:paraId="4CC9624E" w14:textId="77777777" w:rsidTr="00940D38">
        <w:trPr>
          <w:cantSplit/>
        </w:trPr>
        <w:tc>
          <w:tcPr>
            <w:tcW w:w="2263" w:type="dxa"/>
            <w:tcBorders>
              <w:top w:val="single" w:sz="4" w:space="0" w:color="0A4047"/>
              <w:left w:val="single" w:sz="4" w:space="0" w:color="0A4047"/>
              <w:bottom w:val="single" w:sz="4" w:space="0" w:color="0A4047"/>
              <w:right w:val="single" w:sz="4" w:space="0" w:color="0A4047"/>
            </w:tcBorders>
          </w:tcPr>
          <w:p w14:paraId="6836C6DE" w14:textId="77777777" w:rsidR="009011F6" w:rsidRPr="0067048C" w:rsidRDefault="009011F6" w:rsidP="003D17D7">
            <w:pPr>
              <w:pStyle w:val="tablelefttext"/>
              <w:rPr>
                <w:rFonts w:cs="Calibri"/>
              </w:rPr>
            </w:pPr>
            <w:r w:rsidRPr="0067048C">
              <w:rPr>
                <w:rFonts w:cs="Calibri"/>
              </w:rPr>
              <w:t>The Information Commissioner</w:t>
            </w:r>
          </w:p>
        </w:tc>
        <w:tc>
          <w:tcPr>
            <w:tcW w:w="2552" w:type="dxa"/>
            <w:tcBorders>
              <w:top w:val="single" w:sz="4" w:space="0" w:color="0A4047"/>
              <w:left w:val="single" w:sz="4" w:space="0" w:color="0A4047"/>
              <w:bottom w:val="single" w:sz="4" w:space="0" w:color="0A4047"/>
              <w:right w:val="single" w:sz="4" w:space="0" w:color="0A4047"/>
            </w:tcBorders>
          </w:tcPr>
          <w:p w14:paraId="18781076" w14:textId="77777777" w:rsidR="009011F6" w:rsidRPr="0067048C" w:rsidRDefault="009011F6" w:rsidP="003D17D7">
            <w:pPr>
              <w:pStyle w:val="tablerightstyle"/>
              <w:rPr>
                <w:rFonts w:cs="Calibri"/>
                <w:i/>
                <w:iCs/>
              </w:rPr>
            </w:pPr>
            <w:r w:rsidRPr="0067048C">
              <w:rPr>
                <w:rFonts w:cs="Calibri"/>
                <w:b/>
                <w:bCs/>
              </w:rPr>
              <w:t xml:space="preserve">Government information contraventions </w:t>
            </w:r>
          </w:p>
        </w:tc>
        <w:tc>
          <w:tcPr>
            <w:tcW w:w="4394" w:type="dxa"/>
            <w:tcBorders>
              <w:top w:val="single" w:sz="4" w:space="0" w:color="0A4047"/>
              <w:left w:val="single" w:sz="4" w:space="0" w:color="0A4047"/>
              <w:bottom w:val="single" w:sz="4" w:space="0" w:color="0A4047"/>
              <w:right w:val="single" w:sz="4" w:space="0" w:color="0A4047"/>
            </w:tcBorders>
          </w:tcPr>
          <w:p w14:paraId="511C423A" w14:textId="77777777" w:rsidR="009011F6" w:rsidRPr="0067048C" w:rsidRDefault="009011F6" w:rsidP="003D17D7">
            <w:pPr>
              <w:pStyle w:val="tablerightstyle"/>
              <w:rPr>
                <w:rFonts w:cs="Calibri"/>
              </w:rPr>
            </w:pPr>
            <w:r w:rsidRPr="0067048C">
              <w:rPr>
                <w:rFonts w:cs="Calibri"/>
                <w:b/>
                <w:bCs/>
              </w:rPr>
              <w:t>Telephone</w:t>
            </w:r>
            <w:r w:rsidRPr="0067048C">
              <w:rPr>
                <w:rFonts w:cs="Calibri"/>
              </w:rPr>
              <w:t>: 1800 472 679</w:t>
            </w:r>
          </w:p>
          <w:p w14:paraId="44259039" w14:textId="77777777" w:rsidR="009011F6" w:rsidRPr="0067048C" w:rsidRDefault="009011F6" w:rsidP="003D17D7">
            <w:pPr>
              <w:pStyle w:val="tablerightstyle"/>
              <w:rPr>
                <w:rFonts w:cs="Calibri"/>
              </w:rPr>
            </w:pPr>
            <w:r w:rsidRPr="0067048C">
              <w:rPr>
                <w:rFonts w:cs="Calibri"/>
                <w:b/>
                <w:bCs/>
              </w:rPr>
              <w:t>Writing</w:t>
            </w:r>
            <w:r w:rsidRPr="0067048C">
              <w:rPr>
                <w:rFonts w:cs="Calibri"/>
              </w:rPr>
              <w:t>: GPO Box 7011, Sydney NSW 2001</w:t>
            </w:r>
          </w:p>
          <w:p w14:paraId="701ABCC9" w14:textId="77777777" w:rsidR="009011F6" w:rsidRPr="0067048C" w:rsidRDefault="009011F6" w:rsidP="003D17D7">
            <w:pPr>
              <w:pStyle w:val="tablerightstyle"/>
              <w:rPr>
                <w:rFonts w:cs="Calibri"/>
              </w:rPr>
            </w:pPr>
            <w:r w:rsidRPr="0067048C">
              <w:rPr>
                <w:rFonts w:cs="Calibri"/>
                <w:b/>
                <w:bCs/>
              </w:rPr>
              <w:t>Email</w:t>
            </w:r>
            <w:r w:rsidRPr="0067048C">
              <w:rPr>
                <w:rFonts w:cs="Calibri"/>
              </w:rPr>
              <w:t xml:space="preserve">: </w:t>
            </w:r>
            <w:r w:rsidRPr="0067048C">
              <w:rPr>
                <w:rFonts w:cs="Calibri"/>
                <w:color w:val="0A4047"/>
                <w:u w:val="single"/>
              </w:rPr>
              <w:t>ipcinfo@ipc.nsw.gov.au</w:t>
            </w:r>
          </w:p>
        </w:tc>
      </w:tr>
    </w:tbl>
    <w:p w14:paraId="73D697E9" w14:textId="0CE97235" w:rsidR="00A06FEC" w:rsidRPr="0067048C" w:rsidRDefault="003D17D7" w:rsidP="00A06FEC">
      <w:pPr>
        <w:pStyle w:val="Title"/>
        <w:rPr>
          <w:rFonts w:asciiTheme="minorHAnsi" w:hAnsiTheme="minorHAnsi" w:cstheme="minorHAnsi"/>
          <w:b w:val="0"/>
          <w:bCs/>
          <w:sz w:val="26"/>
          <w:szCs w:val="26"/>
        </w:rPr>
      </w:pPr>
      <w:r w:rsidRPr="0067048C">
        <w:rPr>
          <w:rFonts w:asciiTheme="minorHAnsi" w:hAnsiTheme="minorHAnsi" w:cstheme="minorHAnsi"/>
          <w:b w:val="0"/>
          <w:bCs/>
          <w:noProof/>
          <w:sz w:val="26"/>
          <w:szCs w:val="26"/>
        </w:rPr>
        <w:lastRenderedPageBreak/>
        <w:drawing>
          <wp:anchor distT="0" distB="0" distL="114300" distR="114300" simplePos="0" relativeHeight="251666436" behindDoc="1" locked="1" layoutInCell="1" allowOverlap="1" wp14:anchorId="72CF21FC" wp14:editId="5DEAC80B">
            <wp:simplePos x="0" y="0"/>
            <wp:positionH relativeFrom="page">
              <wp:posOffset>0</wp:posOffset>
            </wp:positionH>
            <wp:positionV relativeFrom="page">
              <wp:posOffset>0</wp:posOffset>
            </wp:positionV>
            <wp:extent cx="7560000" cy="106920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sectPr w:rsidR="00A06FEC" w:rsidRPr="0067048C" w:rsidSect="00FC7467">
      <w:headerReference w:type="even" r:id="rId18"/>
      <w:headerReference w:type="default" r:id="rId19"/>
      <w:footerReference w:type="even" r:id="rId20"/>
      <w:footerReference w:type="default" r:id="rId21"/>
      <w:headerReference w:type="first" r:id="rId22"/>
      <w:footerReference w:type="first" r:id="rId23"/>
      <w:pgSz w:w="11906" w:h="16838"/>
      <w:pgMar w:top="1440" w:right="15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A911" w14:textId="77777777" w:rsidR="008D1200" w:rsidRDefault="008D1200" w:rsidP="005E1436">
      <w:r>
        <w:separator/>
      </w:r>
    </w:p>
  </w:endnote>
  <w:endnote w:type="continuationSeparator" w:id="0">
    <w:p w14:paraId="16688DBC" w14:textId="77777777" w:rsidR="008D1200" w:rsidRDefault="008D1200" w:rsidP="005E1436">
      <w:r>
        <w:continuationSeparator/>
      </w:r>
    </w:p>
  </w:endnote>
  <w:endnote w:type="continuationNotice" w:id="1">
    <w:p w14:paraId="0447A160" w14:textId="77777777" w:rsidR="008D1200" w:rsidRDefault="008D1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4D61" w14:textId="77777777" w:rsidR="009A2B10" w:rsidRDefault="009A2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561813"/>
      <w:docPartObj>
        <w:docPartGallery w:val="Page Numbers (Bottom of Page)"/>
        <w:docPartUnique/>
      </w:docPartObj>
    </w:sdtPr>
    <w:sdtEndPr>
      <w:rPr>
        <w:rFonts w:ascii="Arial" w:hAnsi="Arial" w:cs="Arial"/>
        <w:noProof/>
      </w:rPr>
    </w:sdtEndPr>
    <w:sdtContent>
      <w:p w14:paraId="5D6F0744" w14:textId="56627204" w:rsidR="005E1436" w:rsidRPr="00DF4A14" w:rsidRDefault="00DF4A14" w:rsidP="00DF4A14">
        <w:pPr>
          <w:pStyle w:val="footertext"/>
          <w:tabs>
            <w:tab w:val="right" w:pos="8931"/>
          </w:tabs>
          <w:rPr>
            <w:rFonts w:ascii="Arial" w:hAnsi="Arial" w:cs="Arial"/>
          </w:rPr>
        </w:pPr>
        <w:r>
          <w:t>Developing your PID policy - July 2023</w:t>
        </w:r>
        <w:r>
          <w:tab/>
        </w:r>
        <w:r>
          <w:rPr>
            <w:rFonts w:ascii="Arial" w:hAnsi="Arial" w:cs="Arial"/>
          </w:rPr>
          <w:t xml:space="preserve"> </w:t>
        </w:r>
        <w:r w:rsidRPr="00D62451">
          <w:rPr>
            <w:rFonts w:ascii="Arial" w:hAnsi="Arial" w:cs="Arial"/>
          </w:rPr>
          <w:fldChar w:fldCharType="begin"/>
        </w:r>
        <w:r w:rsidRPr="00D62451">
          <w:rPr>
            <w:rFonts w:ascii="Arial" w:hAnsi="Arial" w:cs="Arial"/>
          </w:rPr>
          <w:instrText xml:space="preserve"> PAGE   \* MERGEFORMAT </w:instrText>
        </w:r>
        <w:r w:rsidRPr="00D62451">
          <w:rPr>
            <w:rFonts w:ascii="Arial" w:hAnsi="Arial" w:cs="Arial"/>
          </w:rPr>
          <w:fldChar w:fldCharType="separate"/>
        </w:r>
        <w:r>
          <w:rPr>
            <w:rFonts w:ascii="Arial" w:hAnsi="Arial" w:cs="Arial"/>
          </w:rPr>
          <w:t>7</w:t>
        </w:r>
        <w:r w:rsidRPr="00D6245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453B" w14:textId="77777777" w:rsidR="009A2B10" w:rsidRDefault="009A2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2007" w14:textId="77777777" w:rsidR="008D1200" w:rsidRDefault="008D1200" w:rsidP="005E1436">
      <w:r>
        <w:separator/>
      </w:r>
    </w:p>
  </w:footnote>
  <w:footnote w:type="continuationSeparator" w:id="0">
    <w:p w14:paraId="757E5272" w14:textId="77777777" w:rsidR="008D1200" w:rsidRDefault="008D1200" w:rsidP="005E1436">
      <w:r>
        <w:continuationSeparator/>
      </w:r>
    </w:p>
  </w:footnote>
  <w:footnote w:type="continuationNotice" w:id="1">
    <w:p w14:paraId="1E193470" w14:textId="77777777" w:rsidR="008D1200" w:rsidRDefault="008D1200"/>
  </w:footnote>
  <w:footnote w:id="2">
    <w:p w14:paraId="70BDFABC" w14:textId="45DF860C" w:rsidR="007219A1" w:rsidRPr="00DF4A14" w:rsidRDefault="007219A1" w:rsidP="0093701F">
      <w:pPr>
        <w:pStyle w:val="Footnote"/>
        <w:rPr>
          <w:rFonts w:asciiTheme="minorHAnsi" w:hAnsiTheme="minorHAnsi" w:cstheme="minorHAnsi"/>
        </w:rPr>
      </w:pPr>
      <w:r w:rsidRPr="00DF4A14">
        <w:rPr>
          <w:rStyle w:val="FootnoteReference"/>
          <w:rFonts w:asciiTheme="minorHAnsi" w:hAnsiTheme="minorHAnsi" w:cstheme="minorHAnsi"/>
          <w:vertAlign w:val="baseline"/>
        </w:rPr>
        <w:footnoteRef/>
      </w:r>
      <w:r w:rsidR="00602268" w:rsidRPr="00DF4A14">
        <w:rPr>
          <w:rFonts w:asciiTheme="minorHAnsi" w:hAnsiTheme="minorHAnsi" w:cstheme="minorHAnsi"/>
        </w:rPr>
        <w:t>.</w:t>
      </w:r>
      <w:r w:rsidR="00602268" w:rsidRPr="00DF4A14">
        <w:rPr>
          <w:rFonts w:asciiTheme="minorHAnsi" w:hAnsiTheme="minorHAnsi" w:cstheme="minorHAnsi"/>
        </w:rPr>
        <w:tab/>
      </w:r>
      <w:r w:rsidRPr="00DF4A14">
        <w:rPr>
          <w:rFonts w:asciiTheme="minorHAnsi" w:hAnsiTheme="minorHAnsi" w:cstheme="minorHAnsi"/>
          <w:i/>
          <w:iCs/>
        </w:rPr>
        <w:t>Public Interest Disclosure</w:t>
      </w:r>
      <w:r w:rsidR="00602268" w:rsidRPr="00DF4A14">
        <w:rPr>
          <w:rFonts w:asciiTheme="minorHAnsi" w:hAnsiTheme="minorHAnsi" w:cstheme="minorHAnsi"/>
          <w:i/>
          <w:iCs/>
        </w:rPr>
        <w:t>s</w:t>
      </w:r>
      <w:r w:rsidRPr="00DF4A14">
        <w:rPr>
          <w:rFonts w:asciiTheme="minorHAnsi" w:hAnsiTheme="minorHAnsi" w:cstheme="minorHAnsi"/>
          <w:i/>
          <w:iCs/>
        </w:rPr>
        <w:t xml:space="preserve"> Act 2022</w:t>
      </w:r>
      <w:r w:rsidRPr="00DF4A14">
        <w:rPr>
          <w:rFonts w:asciiTheme="minorHAnsi" w:hAnsiTheme="minorHAnsi" w:cstheme="minorHAnsi"/>
        </w:rPr>
        <w:t xml:space="preserve">, s </w:t>
      </w:r>
      <w:r w:rsidR="00602268" w:rsidRPr="00DF4A14">
        <w:rPr>
          <w:rFonts w:asciiTheme="minorHAnsi" w:hAnsiTheme="minorHAnsi" w:cstheme="minorHAnsi"/>
        </w:rPr>
        <w:t>81(4).</w:t>
      </w:r>
    </w:p>
  </w:footnote>
  <w:footnote w:id="3">
    <w:p w14:paraId="74DB7364" w14:textId="65CCDAF4" w:rsidR="00602268" w:rsidRPr="0093701F" w:rsidRDefault="00602268" w:rsidP="00DF4A14">
      <w:pPr>
        <w:pStyle w:val="Footnote"/>
      </w:pPr>
      <w:r w:rsidRPr="00DF4A14">
        <w:rPr>
          <w:rStyle w:val="FootnoteReference"/>
          <w:rFonts w:asciiTheme="minorHAnsi" w:hAnsiTheme="minorHAnsi" w:cstheme="minorHAnsi"/>
          <w:sz w:val="16"/>
          <w:szCs w:val="16"/>
          <w:vertAlign w:val="baseline"/>
        </w:rPr>
        <w:footnoteRef/>
      </w:r>
      <w:r w:rsidRPr="00DF4A14">
        <w:t>.</w:t>
      </w:r>
      <w:r w:rsidRPr="00DF4A14">
        <w:tab/>
      </w:r>
      <w:r w:rsidRPr="00DF4A14">
        <w:rPr>
          <w:i/>
          <w:iCs/>
        </w:rPr>
        <w:t>Public Interest Disclosures Act 2022</w:t>
      </w:r>
      <w:r w:rsidRPr="00DF4A14">
        <w:t>, s 81(3).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68EB" w14:textId="77777777" w:rsidR="009A2B10" w:rsidRDefault="009A2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318" w14:textId="467C1262" w:rsidR="009A2B10" w:rsidRDefault="009A2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FEBF" w14:textId="73790B88" w:rsidR="009A2B10" w:rsidRDefault="009A2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D268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A2A32"/>
    <w:multiLevelType w:val="hybridMultilevel"/>
    <w:tmpl w:val="64965114"/>
    <w:lvl w:ilvl="0" w:tplc="073E5660">
      <w:start w:val="1"/>
      <w:numFmt w:val="lowerLetter"/>
      <w:pStyle w:val="Extract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76849"/>
    <w:multiLevelType w:val="hybridMultilevel"/>
    <w:tmpl w:val="65BC5F8A"/>
    <w:lvl w:ilvl="0" w:tplc="0C090001">
      <w:start w:val="1"/>
      <w:numFmt w:val="bullet"/>
      <w:lvlText w:val=""/>
      <w:lvlJc w:val="left"/>
      <w:pPr>
        <w:ind w:left="107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05F7A"/>
    <w:multiLevelType w:val="hybridMultilevel"/>
    <w:tmpl w:val="73700BA6"/>
    <w:lvl w:ilvl="0" w:tplc="15F0DB00">
      <w:start w:val="1"/>
      <w:numFmt w:val="bullet"/>
      <w:pStyle w:val="ListParagraph"/>
      <w:lvlText w:val=""/>
      <w:lvlJc w:val="left"/>
      <w:pPr>
        <w:ind w:left="8441" w:hanging="360"/>
      </w:pPr>
      <w:rPr>
        <w:rFonts w:ascii="Symbol" w:hAnsi="Symbol" w:hint="default"/>
        <w:sz w:val="22"/>
        <w:szCs w:val="22"/>
      </w:rPr>
    </w:lvl>
    <w:lvl w:ilvl="1" w:tplc="1488025A">
      <w:start w:val="1"/>
      <w:numFmt w:val="bullet"/>
      <w:lvlText w:val="-"/>
      <w:lvlJc w:val="left"/>
      <w:pPr>
        <w:ind w:left="2160" w:hanging="360"/>
      </w:pPr>
      <w:rPr>
        <w:rFonts w:ascii="Arial" w:eastAsiaTheme="minorHAnsi" w:hAnsi="Arial" w:cs="Arial" w:hint="default"/>
      </w:rPr>
    </w:lvl>
    <w:lvl w:ilvl="2" w:tplc="0C090003">
      <w:start w:val="1"/>
      <w:numFmt w:val="bullet"/>
      <w:lvlText w:val="o"/>
      <w:lvlJc w:val="left"/>
      <w:pPr>
        <w:ind w:left="3060" w:hanging="360"/>
      </w:pPr>
      <w:rPr>
        <w:rFonts w:ascii="Courier New" w:hAnsi="Courier New" w:cs="Courier New"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D522E71"/>
    <w:multiLevelType w:val="hybridMultilevel"/>
    <w:tmpl w:val="E786804A"/>
    <w:lvl w:ilvl="0" w:tplc="9DE6101C">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C336BB"/>
    <w:multiLevelType w:val="hybridMultilevel"/>
    <w:tmpl w:val="A94AE7FE"/>
    <w:lvl w:ilvl="0" w:tplc="9DE6101C">
      <w:start w:val="2"/>
      <w:numFmt w:val="decimal"/>
      <w:lvlText w:val="%1."/>
      <w:lvlJc w:val="left"/>
      <w:pPr>
        <w:ind w:left="631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8513A8"/>
    <w:multiLevelType w:val="hybridMultilevel"/>
    <w:tmpl w:val="D4649102"/>
    <w:lvl w:ilvl="0" w:tplc="E8907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0639D2"/>
    <w:multiLevelType w:val="hybridMultilevel"/>
    <w:tmpl w:val="B8FE701C"/>
    <w:lvl w:ilvl="0" w:tplc="2B282574">
      <w:start w:val="1"/>
      <w:numFmt w:val="decimal"/>
      <w:pStyle w:val="Heading2"/>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A622BB"/>
    <w:multiLevelType w:val="hybridMultilevel"/>
    <w:tmpl w:val="24808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626C2"/>
    <w:multiLevelType w:val="hybridMultilevel"/>
    <w:tmpl w:val="22C659E0"/>
    <w:lvl w:ilvl="0" w:tplc="8F2E3FC6">
      <w:start w:val="1"/>
      <w:numFmt w:val="lowerLetter"/>
      <w:lvlText w:val="(%1)"/>
      <w:lvlJc w:val="left"/>
      <w:pPr>
        <w:ind w:left="786"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3464C7"/>
    <w:multiLevelType w:val="hybridMultilevel"/>
    <w:tmpl w:val="DA1E5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05FE7"/>
    <w:multiLevelType w:val="hybridMultilevel"/>
    <w:tmpl w:val="86607044"/>
    <w:lvl w:ilvl="0" w:tplc="0C090001">
      <w:start w:val="1"/>
      <w:numFmt w:val="bullet"/>
      <w:lvlText w:val=""/>
      <w:lvlJc w:val="left"/>
      <w:pPr>
        <w:ind w:left="720" w:hanging="360"/>
      </w:pPr>
      <w:rPr>
        <w:rFonts w:ascii="Symbol" w:hAnsi="Symbol" w:hint="default"/>
      </w:rPr>
    </w:lvl>
    <w:lvl w:ilvl="1" w:tplc="E8907E8E">
      <w:start w:val="1"/>
      <w:numFmt w:val="lowerLetter"/>
      <w:lvlText w:val="(%2)"/>
      <w:lvlJc w:val="left"/>
      <w:pPr>
        <w:ind w:left="72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37ECB"/>
    <w:multiLevelType w:val="hybridMultilevel"/>
    <w:tmpl w:val="C05AC64A"/>
    <w:lvl w:ilvl="0" w:tplc="AFAE2B00">
      <w:start w:val="1"/>
      <w:numFmt w:val="bullet"/>
      <w:pStyle w:val="ListBullet2"/>
      <w:lvlText w:val="–"/>
      <w:lvlJc w:val="left"/>
      <w:pPr>
        <w:ind w:left="1440" w:hanging="360"/>
      </w:pPr>
      <w:rPr>
        <w:rFonts w:ascii="Calibri" w:hAnsi="Calibri"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EA14E2C"/>
    <w:multiLevelType w:val="hybridMultilevel"/>
    <w:tmpl w:val="349CD5F2"/>
    <w:lvl w:ilvl="0" w:tplc="6BFC081A">
      <w:start w:val="1"/>
      <w:numFmt w:val="lowerLetter"/>
      <w:lvlText w:val="(%1)"/>
      <w:lvlJc w:val="left"/>
      <w:pPr>
        <w:ind w:left="560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0B1B4F"/>
    <w:multiLevelType w:val="hybridMultilevel"/>
    <w:tmpl w:val="209C76DE"/>
    <w:lvl w:ilvl="0" w:tplc="E8907E8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793AD3"/>
    <w:multiLevelType w:val="hybridMultilevel"/>
    <w:tmpl w:val="CB9E22C6"/>
    <w:lvl w:ilvl="0" w:tplc="53263366">
      <w:start w:val="1"/>
      <w:numFmt w:val="bullet"/>
      <w:pStyle w:val="notestyle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C69409D"/>
    <w:multiLevelType w:val="multilevel"/>
    <w:tmpl w:val="E02802CC"/>
    <w:lvl w:ilvl="0">
      <w:start w:val="1"/>
      <w:numFmt w:val="decimal"/>
      <w:pStyle w:val="Heading1"/>
      <w:lvlText w:val="%1."/>
      <w:lvlJc w:val="left"/>
      <w:pPr>
        <w:ind w:left="0" w:firstLine="0"/>
      </w:pPr>
      <w:rPr>
        <w:rFonts w:ascii="Arial" w:hAnsi="Arial" w:cs="Arial" w:hint="default"/>
        <w:b/>
        <w:bCs/>
        <w:color w:val="auto"/>
        <w:sz w:val="26"/>
        <w:szCs w:val="26"/>
      </w:rPr>
    </w:lvl>
    <w:lvl w:ilvl="1">
      <w:start w:val="1"/>
      <w:numFmt w:val="upperLetter"/>
      <w:lvlText w:val="%2."/>
      <w:lvlJc w:val="left"/>
      <w:pPr>
        <w:ind w:left="720" w:firstLine="0"/>
      </w:pPr>
      <w:rPr>
        <w:rFonts w:ascii="Arial" w:hAnsi="Arial" w:cs="Arial" w:hint="default"/>
        <w:b/>
        <w:bCs/>
        <w:color w:val="auto"/>
        <w:sz w:val="26"/>
        <w:szCs w:val="26"/>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6C704313"/>
    <w:multiLevelType w:val="hybridMultilevel"/>
    <w:tmpl w:val="1D2679EC"/>
    <w:lvl w:ilvl="0" w:tplc="DBDE78B4">
      <w:start w:val="1"/>
      <w:numFmt w:val="bullet"/>
      <w:pStyle w:val="tablerightbullets"/>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7244612C"/>
    <w:multiLevelType w:val="hybridMultilevel"/>
    <w:tmpl w:val="B2A6FE6E"/>
    <w:lvl w:ilvl="0" w:tplc="F61AC89C">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707F93"/>
    <w:multiLevelType w:val="hybridMultilevel"/>
    <w:tmpl w:val="2DFC61FE"/>
    <w:lvl w:ilvl="0" w:tplc="E61AEF84">
      <w:start w:val="1"/>
      <w:numFmt w:val="bullet"/>
      <w:pStyle w:val="ListBullet3"/>
      <w:lvlText w:val="o"/>
      <w:lvlJc w:val="left"/>
      <w:pPr>
        <w:ind w:left="2160" w:hanging="360"/>
      </w:pPr>
      <w:rPr>
        <w:rFonts w:ascii="Courier New" w:hAnsi="Courier New" w:hint="default"/>
        <w:color w:val="000000" w:themeColor="text1"/>
        <w:sz w:val="20"/>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781B74A2"/>
    <w:multiLevelType w:val="hybridMultilevel"/>
    <w:tmpl w:val="836E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DA0305"/>
    <w:multiLevelType w:val="hybridMultilevel"/>
    <w:tmpl w:val="5FF47498"/>
    <w:lvl w:ilvl="0" w:tplc="E8907E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AD4201"/>
    <w:multiLevelType w:val="hybridMultilevel"/>
    <w:tmpl w:val="8DC0A9EC"/>
    <w:lvl w:ilvl="0" w:tplc="E8907E8E">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5616D4"/>
    <w:multiLevelType w:val="multilevel"/>
    <w:tmpl w:val="A412BC46"/>
    <w:styleLink w:val="CurrentList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1633361">
    <w:abstractNumId w:val="10"/>
  </w:num>
  <w:num w:numId="2" w16cid:durableId="1233009428">
    <w:abstractNumId w:val="8"/>
  </w:num>
  <w:num w:numId="3" w16cid:durableId="1077899105">
    <w:abstractNumId w:val="11"/>
  </w:num>
  <w:num w:numId="4" w16cid:durableId="1798453984">
    <w:abstractNumId w:val="16"/>
  </w:num>
  <w:num w:numId="5" w16cid:durableId="1126503527">
    <w:abstractNumId w:val="20"/>
  </w:num>
  <w:num w:numId="6" w16cid:durableId="262227445">
    <w:abstractNumId w:val="3"/>
  </w:num>
  <w:num w:numId="7" w16cid:durableId="418063563">
    <w:abstractNumId w:val="12"/>
  </w:num>
  <w:num w:numId="8" w16cid:durableId="2058505472">
    <w:abstractNumId w:val="19"/>
  </w:num>
  <w:num w:numId="9" w16cid:durableId="1649360551">
    <w:abstractNumId w:val="14"/>
  </w:num>
  <w:num w:numId="10" w16cid:durableId="524177784">
    <w:abstractNumId w:val="7"/>
  </w:num>
  <w:num w:numId="11" w16cid:durableId="1618021432">
    <w:abstractNumId w:val="1"/>
  </w:num>
  <w:num w:numId="12" w16cid:durableId="2109497789">
    <w:abstractNumId w:val="17"/>
  </w:num>
  <w:num w:numId="13" w16cid:durableId="1415665882">
    <w:abstractNumId w:val="15"/>
  </w:num>
  <w:num w:numId="14" w16cid:durableId="48306356">
    <w:abstractNumId w:val="22"/>
  </w:num>
  <w:num w:numId="15" w16cid:durableId="1734546993">
    <w:abstractNumId w:val="18"/>
  </w:num>
  <w:num w:numId="16" w16cid:durableId="388577682">
    <w:abstractNumId w:val="5"/>
  </w:num>
  <w:num w:numId="17" w16cid:durableId="1892037065">
    <w:abstractNumId w:val="13"/>
  </w:num>
  <w:num w:numId="18" w16cid:durableId="2017270452">
    <w:abstractNumId w:val="2"/>
  </w:num>
  <w:num w:numId="19" w16cid:durableId="1136336395">
    <w:abstractNumId w:val="9"/>
  </w:num>
  <w:num w:numId="20" w16cid:durableId="720249630">
    <w:abstractNumId w:val="21"/>
  </w:num>
  <w:num w:numId="21" w16cid:durableId="1795100154">
    <w:abstractNumId w:val="23"/>
  </w:num>
  <w:num w:numId="22" w16cid:durableId="701711514">
    <w:abstractNumId w:val="6"/>
  </w:num>
  <w:num w:numId="23" w16cid:durableId="226455291">
    <w:abstractNumId w:val="4"/>
  </w:num>
  <w:num w:numId="24" w16cid:durableId="81903379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F8"/>
    <w:rsid w:val="000002E8"/>
    <w:rsid w:val="00000379"/>
    <w:rsid w:val="00000470"/>
    <w:rsid w:val="00000E1D"/>
    <w:rsid w:val="00000F28"/>
    <w:rsid w:val="00002E85"/>
    <w:rsid w:val="0000490F"/>
    <w:rsid w:val="000060D9"/>
    <w:rsid w:val="0000727B"/>
    <w:rsid w:val="0000761B"/>
    <w:rsid w:val="00007B93"/>
    <w:rsid w:val="00007CB1"/>
    <w:rsid w:val="000117D5"/>
    <w:rsid w:val="00011D1D"/>
    <w:rsid w:val="00012FB8"/>
    <w:rsid w:val="0001716E"/>
    <w:rsid w:val="00017291"/>
    <w:rsid w:val="000173AA"/>
    <w:rsid w:val="00021BA5"/>
    <w:rsid w:val="00022221"/>
    <w:rsid w:val="0002300C"/>
    <w:rsid w:val="00023776"/>
    <w:rsid w:val="000249D0"/>
    <w:rsid w:val="00025223"/>
    <w:rsid w:val="00031DA6"/>
    <w:rsid w:val="000323B0"/>
    <w:rsid w:val="00033A32"/>
    <w:rsid w:val="00033DF0"/>
    <w:rsid w:val="000354C3"/>
    <w:rsid w:val="00036288"/>
    <w:rsid w:val="00036ADB"/>
    <w:rsid w:val="00036DB7"/>
    <w:rsid w:val="000373F9"/>
    <w:rsid w:val="00037CEF"/>
    <w:rsid w:val="00037E19"/>
    <w:rsid w:val="000400BE"/>
    <w:rsid w:val="00040696"/>
    <w:rsid w:val="00040834"/>
    <w:rsid w:val="000456F2"/>
    <w:rsid w:val="00045770"/>
    <w:rsid w:val="00047215"/>
    <w:rsid w:val="00047DA9"/>
    <w:rsid w:val="000512AA"/>
    <w:rsid w:val="000539B6"/>
    <w:rsid w:val="00054089"/>
    <w:rsid w:val="00055739"/>
    <w:rsid w:val="00057289"/>
    <w:rsid w:val="0005790B"/>
    <w:rsid w:val="00057B56"/>
    <w:rsid w:val="00057C03"/>
    <w:rsid w:val="000608AC"/>
    <w:rsid w:val="000614D9"/>
    <w:rsid w:val="00061D27"/>
    <w:rsid w:val="00061E75"/>
    <w:rsid w:val="00063847"/>
    <w:rsid w:val="0006393E"/>
    <w:rsid w:val="00064ABE"/>
    <w:rsid w:val="0006597A"/>
    <w:rsid w:val="00065C53"/>
    <w:rsid w:val="0006695E"/>
    <w:rsid w:val="00067B68"/>
    <w:rsid w:val="00070D62"/>
    <w:rsid w:val="00071DAF"/>
    <w:rsid w:val="0007271E"/>
    <w:rsid w:val="00072EDE"/>
    <w:rsid w:val="00073B02"/>
    <w:rsid w:val="00074159"/>
    <w:rsid w:val="0007539E"/>
    <w:rsid w:val="0007553F"/>
    <w:rsid w:val="000755F0"/>
    <w:rsid w:val="00075D60"/>
    <w:rsid w:val="0007673E"/>
    <w:rsid w:val="00076A6F"/>
    <w:rsid w:val="00076FF0"/>
    <w:rsid w:val="0007703B"/>
    <w:rsid w:val="00077410"/>
    <w:rsid w:val="00077A98"/>
    <w:rsid w:val="00082216"/>
    <w:rsid w:val="00082CDE"/>
    <w:rsid w:val="000846DD"/>
    <w:rsid w:val="00084B45"/>
    <w:rsid w:val="0008522D"/>
    <w:rsid w:val="000858D1"/>
    <w:rsid w:val="00085B89"/>
    <w:rsid w:val="00086B60"/>
    <w:rsid w:val="00086CB8"/>
    <w:rsid w:val="0008792F"/>
    <w:rsid w:val="00091691"/>
    <w:rsid w:val="00092507"/>
    <w:rsid w:val="0009289D"/>
    <w:rsid w:val="000941CB"/>
    <w:rsid w:val="000955D8"/>
    <w:rsid w:val="00095E46"/>
    <w:rsid w:val="000975B0"/>
    <w:rsid w:val="000A0AF2"/>
    <w:rsid w:val="000A1083"/>
    <w:rsid w:val="000A2CFC"/>
    <w:rsid w:val="000A3BB9"/>
    <w:rsid w:val="000A46F6"/>
    <w:rsid w:val="000A54B8"/>
    <w:rsid w:val="000A5818"/>
    <w:rsid w:val="000A5BEA"/>
    <w:rsid w:val="000A5DCD"/>
    <w:rsid w:val="000A617C"/>
    <w:rsid w:val="000A61D2"/>
    <w:rsid w:val="000A6B30"/>
    <w:rsid w:val="000A79A7"/>
    <w:rsid w:val="000A7D1A"/>
    <w:rsid w:val="000B14BD"/>
    <w:rsid w:val="000B2427"/>
    <w:rsid w:val="000B32BD"/>
    <w:rsid w:val="000B3318"/>
    <w:rsid w:val="000B39B9"/>
    <w:rsid w:val="000B41CD"/>
    <w:rsid w:val="000B4E39"/>
    <w:rsid w:val="000B4FA2"/>
    <w:rsid w:val="000B5683"/>
    <w:rsid w:val="000B7404"/>
    <w:rsid w:val="000C2000"/>
    <w:rsid w:val="000C3458"/>
    <w:rsid w:val="000C4810"/>
    <w:rsid w:val="000C5C56"/>
    <w:rsid w:val="000C6EBC"/>
    <w:rsid w:val="000C736B"/>
    <w:rsid w:val="000C7723"/>
    <w:rsid w:val="000D0479"/>
    <w:rsid w:val="000D27FB"/>
    <w:rsid w:val="000D2D36"/>
    <w:rsid w:val="000D4006"/>
    <w:rsid w:val="000D4F48"/>
    <w:rsid w:val="000D5308"/>
    <w:rsid w:val="000D707B"/>
    <w:rsid w:val="000D72F8"/>
    <w:rsid w:val="000D7ACD"/>
    <w:rsid w:val="000E1BCD"/>
    <w:rsid w:val="000E338D"/>
    <w:rsid w:val="000E3DEF"/>
    <w:rsid w:val="000E4DED"/>
    <w:rsid w:val="000E6840"/>
    <w:rsid w:val="000E7794"/>
    <w:rsid w:val="000F0270"/>
    <w:rsid w:val="000F0665"/>
    <w:rsid w:val="000F3523"/>
    <w:rsid w:val="000F395B"/>
    <w:rsid w:val="000F3BBD"/>
    <w:rsid w:val="000F649A"/>
    <w:rsid w:val="000F665F"/>
    <w:rsid w:val="00100450"/>
    <w:rsid w:val="00100C10"/>
    <w:rsid w:val="001036E3"/>
    <w:rsid w:val="00103E88"/>
    <w:rsid w:val="00107824"/>
    <w:rsid w:val="00107EAE"/>
    <w:rsid w:val="001147C3"/>
    <w:rsid w:val="00114E6C"/>
    <w:rsid w:val="00116AC5"/>
    <w:rsid w:val="00116C45"/>
    <w:rsid w:val="001174A2"/>
    <w:rsid w:val="00117E34"/>
    <w:rsid w:val="00120783"/>
    <w:rsid w:val="00120FA2"/>
    <w:rsid w:val="001216E8"/>
    <w:rsid w:val="00121D34"/>
    <w:rsid w:val="001254DD"/>
    <w:rsid w:val="00125A22"/>
    <w:rsid w:val="00125C4B"/>
    <w:rsid w:val="00125D15"/>
    <w:rsid w:val="00125E07"/>
    <w:rsid w:val="00126D65"/>
    <w:rsid w:val="0013038F"/>
    <w:rsid w:val="00132BBC"/>
    <w:rsid w:val="001338C2"/>
    <w:rsid w:val="00135650"/>
    <w:rsid w:val="00135DBF"/>
    <w:rsid w:val="00136138"/>
    <w:rsid w:val="001367AD"/>
    <w:rsid w:val="001378F0"/>
    <w:rsid w:val="00142007"/>
    <w:rsid w:val="00142236"/>
    <w:rsid w:val="0014319D"/>
    <w:rsid w:val="0014338E"/>
    <w:rsid w:val="00144152"/>
    <w:rsid w:val="00144BA0"/>
    <w:rsid w:val="00144E0E"/>
    <w:rsid w:val="0014594C"/>
    <w:rsid w:val="001467F4"/>
    <w:rsid w:val="00146CBA"/>
    <w:rsid w:val="00146F85"/>
    <w:rsid w:val="00147FF0"/>
    <w:rsid w:val="0015032C"/>
    <w:rsid w:val="001508C3"/>
    <w:rsid w:val="0015272C"/>
    <w:rsid w:val="00152FEC"/>
    <w:rsid w:val="001537B6"/>
    <w:rsid w:val="0015457C"/>
    <w:rsid w:val="00155059"/>
    <w:rsid w:val="00155C50"/>
    <w:rsid w:val="00155CC1"/>
    <w:rsid w:val="0015601B"/>
    <w:rsid w:val="0015709B"/>
    <w:rsid w:val="00157CB0"/>
    <w:rsid w:val="001617AF"/>
    <w:rsid w:val="001635C8"/>
    <w:rsid w:val="001636AE"/>
    <w:rsid w:val="00164592"/>
    <w:rsid w:val="0016613F"/>
    <w:rsid w:val="001668D8"/>
    <w:rsid w:val="00166F46"/>
    <w:rsid w:val="00171176"/>
    <w:rsid w:val="0017188C"/>
    <w:rsid w:val="00173FA3"/>
    <w:rsid w:val="00174DEB"/>
    <w:rsid w:val="0017535D"/>
    <w:rsid w:val="00176D72"/>
    <w:rsid w:val="00177791"/>
    <w:rsid w:val="00180272"/>
    <w:rsid w:val="00180489"/>
    <w:rsid w:val="001809FC"/>
    <w:rsid w:val="00181066"/>
    <w:rsid w:val="0018321C"/>
    <w:rsid w:val="00183C98"/>
    <w:rsid w:val="0018446A"/>
    <w:rsid w:val="001853C5"/>
    <w:rsid w:val="0018569F"/>
    <w:rsid w:val="00185730"/>
    <w:rsid w:val="0018677E"/>
    <w:rsid w:val="00187CB4"/>
    <w:rsid w:val="00187E0E"/>
    <w:rsid w:val="00190929"/>
    <w:rsid w:val="00190B8E"/>
    <w:rsid w:val="001913C6"/>
    <w:rsid w:val="001932F3"/>
    <w:rsid w:val="00193F25"/>
    <w:rsid w:val="001940D4"/>
    <w:rsid w:val="001951D2"/>
    <w:rsid w:val="001951DB"/>
    <w:rsid w:val="00195BE5"/>
    <w:rsid w:val="00196BF5"/>
    <w:rsid w:val="001978D5"/>
    <w:rsid w:val="001A0978"/>
    <w:rsid w:val="001A1087"/>
    <w:rsid w:val="001A2A6D"/>
    <w:rsid w:val="001A2FE9"/>
    <w:rsid w:val="001A378E"/>
    <w:rsid w:val="001A4799"/>
    <w:rsid w:val="001A4C80"/>
    <w:rsid w:val="001A5404"/>
    <w:rsid w:val="001A57C1"/>
    <w:rsid w:val="001A5AEE"/>
    <w:rsid w:val="001A5D3C"/>
    <w:rsid w:val="001A5D6E"/>
    <w:rsid w:val="001A6644"/>
    <w:rsid w:val="001A6B2E"/>
    <w:rsid w:val="001B01BD"/>
    <w:rsid w:val="001B02E6"/>
    <w:rsid w:val="001B09FC"/>
    <w:rsid w:val="001B0B35"/>
    <w:rsid w:val="001B0D15"/>
    <w:rsid w:val="001B1269"/>
    <w:rsid w:val="001B219C"/>
    <w:rsid w:val="001B2316"/>
    <w:rsid w:val="001B4BEF"/>
    <w:rsid w:val="001B4DB0"/>
    <w:rsid w:val="001B573E"/>
    <w:rsid w:val="001B5AA2"/>
    <w:rsid w:val="001B5F85"/>
    <w:rsid w:val="001B6E16"/>
    <w:rsid w:val="001B724E"/>
    <w:rsid w:val="001B7383"/>
    <w:rsid w:val="001B7689"/>
    <w:rsid w:val="001C0D9C"/>
    <w:rsid w:val="001C1C22"/>
    <w:rsid w:val="001C518A"/>
    <w:rsid w:val="001C55A0"/>
    <w:rsid w:val="001C64F7"/>
    <w:rsid w:val="001C6584"/>
    <w:rsid w:val="001C702A"/>
    <w:rsid w:val="001C7673"/>
    <w:rsid w:val="001C7AC7"/>
    <w:rsid w:val="001C7B26"/>
    <w:rsid w:val="001D0916"/>
    <w:rsid w:val="001D1B7F"/>
    <w:rsid w:val="001D2F0F"/>
    <w:rsid w:val="001D55F5"/>
    <w:rsid w:val="001D56B2"/>
    <w:rsid w:val="001D5C9C"/>
    <w:rsid w:val="001E042E"/>
    <w:rsid w:val="001E0747"/>
    <w:rsid w:val="001E07CF"/>
    <w:rsid w:val="001E1B45"/>
    <w:rsid w:val="001E1EE9"/>
    <w:rsid w:val="001E2BC5"/>
    <w:rsid w:val="001E2C2B"/>
    <w:rsid w:val="001E397F"/>
    <w:rsid w:val="001E3A6B"/>
    <w:rsid w:val="001E454D"/>
    <w:rsid w:val="001E4610"/>
    <w:rsid w:val="001E47A1"/>
    <w:rsid w:val="001E5343"/>
    <w:rsid w:val="001E566E"/>
    <w:rsid w:val="001E585A"/>
    <w:rsid w:val="001E5DFF"/>
    <w:rsid w:val="001E66D5"/>
    <w:rsid w:val="001F1F52"/>
    <w:rsid w:val="001F2D9F"/>
    <w:rsid w:val="001F3525"/>
    <w:rsid w:val="001F37AC"/>
    <w:rsid w:val="001F397E"/>
    <w:rsid w:val="001F4C74"/>
    <w:rsid w:val="001F4F3E"/>
    <w:rsid w:val="001F5772"/>
    <w:rsid w:val="001F6158"/>
    <w:rsid w:val="001F7341"/>
    <w:rsid w:val="002007AA"/>
    <w:rsid w:val="00200C3E"/>
    <w:rsid w:val="00200FC7"/>
    <w:rsid w:val="002021CE"/>
    <w:rsid w:val="002030DE"/>
    <w:rsid w:val="002039FD"/>
    <w:rsid w:val="00204181"/>
    <w:rsid w:val="002046E3"/>
    <w:rsid w:val="00206CE9"/>
    <w:rsid w:val="0021024F"/>
    <w:rsid w:val="002108E0"/>
    <w:rsid w:val="00211B6C"/>
    <w:rsid w:val="00211BEE"/>
    <w:rsid w:val="002133AA"/>
    <w:rsid w:val="0021393C"/>
    <w:rsid w:val="00214200"/>
    <w:rsid w:val="00214654"/>
    <w:rsid w:val="0021502A"/>
    <w:rsid w:val="002152E2"/>
    <w:rsid w:val="002165CD"/>
    <w:rsid w:val="00217338"/>
    <w:rsid w:val="0021776D"/>
    <w:rsid w:val="002200AF"/>
    <w:rsid w:val="0022114F"/>
    <w:rsid w:val="002222DF"/>
    <w:rsid w:val="0022431D"/>
    <w:rsid w:val="002244EF"/>
    <w:rsid w:val="00224710"/>
    <w:rsid w:val="002247A4"/>
    <w:rsid w:val="00224826"/>
    <w:rsid w:val="0022537F"/>
    <w:rsid w:val="00225C74"/>
    <w:rsid w:val="00227773"/>
    <w:rsid w:val="00227E6E"/>
    <w:rsid w:val="00227F06"/>
    <w:rsid w:val="00230082"/>
    <w:rsid w:val="00234956"/>
    <w:rsid w:val="00234D0B"/>
    <w:rsid w:val="00235337"/>
    <w:rsid w:val="00235367"/>
    <w:rsid w:val="0023570E"/>
    <w:rsid w:val="00237405"/>
    <w:rsid w:val="00237BD6"/>
    <w:rsid w:val="00237D7A"/>
    <w:rsid w:val="00237D9C"/>
    <w:rsid w:val="002406CE"/>
    <w:rsid w:val="00240D7F"/>
    <w:rsid w:val="002414A6"/>
    <w:rsid w:val="00242144"/>
    <w:rsid w:val="0024241C"/>
    <w:rsid w:val="002435A6"/>
    <w:rsid w:val="00243A6B"/>
    <w:rsid w:val="00243D57"/>
    <w:rsid w:val="00244082"/>
    <w:rsid w:val="002441BF"/>
    <w:rsid w:val="002447D3"/>
    <w:rsid w:val="002451EC"/>
    <w:rsid w:val="0024534C"/>
    <w:rsid w:val="002463FE"/>
    <w:rsid w:val="00246C86"/>
    <w:rsid w:val="00247494"/>
    <w:rsid w:val="00250E92"/>
    <w:rsid w:val="0025111A"/>
    <w:rsid w:val="0025357A"/>
    <w:rsid w:val="0025367C"/>
    <w:rsid w:val="002538CB"/>
    <w:rsid w:val="00253E9E"/>
    <w:rsid w:val="002540A5"/>
    <w:rsid w:val="00254C98"/>
    <w:rsid w:val="00257BAD"/>
    <w:rsid w:val="00260B25"/>
    <w:rsid w:val="00261B5D"/>
    <w:rsid w:val="002629BD"/>
    <w:rsid w:val="00263637"/>
    <w:rsid w:val="00263678"/>
    <w:rsid w:val="0026454C"/>
    <w:rsid w:val="00264EBA"/>
    <w:rsid w:val="00266817"/>
    <w:rsid w:val="002670FD"/>
    <w:rsid w:val="002700A4"/>
    <w:rsid w:val="002721C3"/>
    <w:rsid w:val="00272BAE"/>
    <w:rsid w:val="00273738"/>
    <w:rsid w:val="00273E3D"/>
    <w:rsid w:val="002742B5"/>
    <w:rsid w:val="00274F3C"/>
    <w:rsid w:val="00275A1B"/>
    <w:rsid w:val="0027680B"/>
    <w:rsid w:val="00276E74"/>
    <w:rsid w:val="0028067D"/>
    <w:rsid w:val="0028232E"/>
    <w:rsid w:val="002825C6"/>
    <w:rsid w:val="002826CC"/>
    <w:rsid w:val="00282FDE"/>
    <w:rsid w:val="0028368B"/>
    <w:rsid w:val="002845BB"/>
    <w:rsid w:val="00285641"/>
    <w:rsid w:val="00286AB1"/>
    <w:rsid w:val="00287222"/>
    <w:rsid w:val="002878D9"/>
    <w:rsid w:val="00290073"/>
    <w:rsid w:val="00291E7A"/>
    <w:rsid w:val="00291F85"/>
    <w:rsid w:val="00292C38"/>
    <w:rsid w:val="0029363D"/>
    <w:rsid w:val="00293A6A"/>
    <w:rsid w:val="0029417D"/>
    <w:rsid w:val="00294645"/>
    <w:rsid w:val="002946A1"/>
    <w:rsid w:val="00294A6D"/>
    <w:rsid w:val="002970EE"/>
    <w:rsid w:val="002A008E"/>
    <w:rsid w:val="002A04A1"/>
    <w:rsid w:val="002A062F"/>
    <w:rsid w:val="002A0765"/>
    <w:rsid w:val="002A1168"/>
    <w:rsid w:val="002A28FA"/>
    <w:rsid w:val="002A2998"/>
    <w:rsid w:val="002A35A9"/>
    <w:rsid w:val="002A41A1"/>
    <w:rsid w:val="002A47F5"/>
    <w:rsid w:val="002A4F2C"/>
    <w:rsid w:val="002A58FD"/>
    <w:rsid w:val="002A6A5A"/>
    <w:rsid w:val="002B0DF8"/>
    <w:rsid w:val="002B2814"/>
    <w:rsid w:val="002B385E"/>
    <w:rsid w:val="002B4AD5"/>
    <w:rsid w:val="002B6A1B"/>
    <w:rsid w:val="002B7371"/>
    <w:rsid w:val="002B7604"/>
    <w:rsid w:val="002C024A"/>
    <w:rsid w:val="002C0894"/>
    <w:rsid w:val="002C2D23"/>
    <w:rsid w:val="002C4238"/>
    <w:rsid w:val="002C5A86"/>
    <w:rsid w:val="002C6242"/>
    <w:rsid w:val="002C6550"/>
    <w:rsid w:val="002C725C"/>
    <w:rsid w:val="002D1B4A"/>
    <w:rsid w:val="002D1E6E"/>
    <w:rsid w:val="002D269B"/>
    <w:rsid w:val="002D2826"/>
    <w:rsid w:val="002D2B02"/>
    <w:rsid w:val="002D3645"/>
    <w:rsid w:val="002D3A94"/>
    <w:rsid w:val="002D4BBE"/>
    <w:rsid w:val="002D5896"/>
    <w:rsid w:val="002D5D76"/>
    <w:rsid w:val="002D6028"/>
    <w:rsid w:val="002D65EC"/>
    <w:rsid w:val="002D67AB"/>
    <w:rsid w:val="002E0499"/>
    <w:rsid w:val="002E0E50"/>
    <w:rsid w:val="002E2F4B"/>
    <w:rsid w:val="002E4192"/>
    <w:rsid w:val="002E439D"/>
    <w:rsid w:val="002E52EF"/>
    <w:rsid w:val="002E58B3"/>
    <w:rsid w:val="002E652E"/>
    <w:rsid w:val="002E6DD1"/>
    <w:rsid w:val="002E6E8D"/>
    <w:rsid w:val="002E7791"/>
    <w:rsid w:val="002F0602"/>
    <w:rsid w:val="002F2E79"/>
    <w:rsid w:val="002F34EB"/>
    <w:rsid w:val="002F4F92"/>
    <w:rsid w:val="002F5691"/>
    <w:rsid w:val="002F577C"/>
    <w:rsid w:val="002F761A"/>
    <w:rsid w:val="003008BD"/>
    <w:rsid w:val="003012DD"/>
    <w:rsid w:val="0030162A"/>
    <w:rsid w:val="00302595"/>
    <w:rsid w:val="00303267"/>
    <w:rsid w:val="00303374"/>
    <w:rsid w:val="003042BB"/>
    <w:rsid w:val="00304823"/>
    <w:rsid w:val="0030507F"/>
    <w:rsid w:val="00306182"/>
    <w:rsid w:val="00306403"/>
    <w:rsid w:val="0030683E"/>
    <w:rsid w:val="00306A70"/>
    <w:rsid w:val="00306DD0"/>
    <w:rsid w:val="00307303"/>
    <w:rsid w:val="00310063"/>
    <w:rsid w:val="00310327"/>
    <w:rsid w:val="00310386"/>
    <w:rsid w:val="003114AB"/>
    <w:rsid w:val="003114E8"/>
    <w:rsid w:val="0031219A"/>
    <w:rsid w:val="00312750"/>
    <w:rsid w:val="00312A89"/>
    <w:rsid w:val="0031432A"/>
    <w:rsid w:val="0031591B"/>
    <w:rsid w:val="0031694A"/>
    <w:rsid w:val="00316C14"/>
    <w:rsid w:val="0031769C"/>
    <w:rsid w:val="00317C1E"/>
    <w:rsid w:val="0032063D"/>
    <w:rsid w:val="00320695"/>
    <w:rsid w:val="00321E78"/>
    <w:rsid w:val="0032214D"/>
    <w:rsid w:val="00322F86"/>
    <w:rsid w:val="00325216"/>
    <w:rsid w:val="00325A84"/>
    <w:rsid w:val="00330917"/>
    <w:rsid w:val="00330A62"/>
    <w:rsid w:val="00331C96"/>
    <w:rsid w:val="00332D8E"/>
    <w:rsid w:val="00332EC3"/>
    <w:rsid w:val="00333079"/>
    <w:rsid w:val="0033313C"/>
    <w:rsid w:val="00333AA3"/>
    <w:rsid w:val="003358D1"/>
    <w:rsid w:val="0033659B"/>
    <w:rsid w:val="00336F93"/>
    <w:rsid w:val="00337EF3"/>
    <w:rsid w:val="003403F5"/>
    <w:rsid w:val="00340745"/>
    <w:rsid w:val="0034101E"/>
    <w:rsid w:val="003421F8"/>
    <w:rsid w:val="0034274D"/>
    <w:rsid w:val="003432C5"/>
    <w:rsid w:val="00343695"/>
    <w:rsid w:val="00343E3D"/>
    <w:rsid w:val="00346171"/>
    <w:rsid w:val="00346E3A"/>
    <w:rsid w:val="00352866"/>
    <w:rsid w:val="00352FD6"/>
    <w:rsid w:val="00353247"/>
    <w:rsid w:val="003535AD"/>
    <w:rsid w:val="00353883"/>
    <w:rsid w:val="00353B01"/>
    <w:rsid w:val="003552E4"/>
    <w:rsid w:val="00355B69"/>
    <w:rsid w:val="00356846"/>
    <w:rsid w:val="00356A93"/>
    <w:rsid w:val="00361814"/>
    <w:rsid w:val="003627AE"/>
    <w:rsid w:val="003636D7"/>
    <w:rsid w:val="00363DB9"/>
    <w:rsid w:val="003641EF"/>
    <w:rsid w:val="00364C20"/>
    <w:rsid w:val="003651BC"/>
    <w:rsid w:val="003663E0"/>
    <w:rsid w:val="0037028B"/>
    <w:rsid w:val="003704C7"/>
    <w:rsid w:val="00371408"/>
    <w:rsid w:val="00371A46"/>
    <w:rsid w:val="0037421D"/>
    <w:rsid w:val="00374493"/>
    <w:rsid w:val="003744DC"/>
    <w:rsid w:val="003745A6"/>
    <w:rsid w:val="00374913"/>
    <w:rsid w:val="00374B40"/>
    <w:rsid w:val="0037612E"/>
    <w:rsid w:val="00376618"/>
    <w:rsid w:val="00377060"/>
    <w:rsid w:val="00377451"/>
    <w:rsid w:val="00380313"/>
    <w:rsid w:val="003803A3"/>
    <w:rsid w:val="00380786"/>
    <w:rsid w:val="0038117C"/>
    <w:rsid w:val="00381304"/>
    <w:rsid w:val="00382FAB"/>
    <w:rsid w:val="0038354A"/>
    <w:rsid w:val="003842D1"/>
    <w:rsid w:val="00384957"/>
    <w:rsid w:val="00385540"/>
    <w:rsid w:val="00385A61"/>
    <w:rsid w:val="0038705F"/>
    <w:rsid w:val="003909FE"/>
    <w:rsid w:val="00392307"/>
    <w:rsid w:val="00392CDF"/>
    <w:rsid w:val="00393A98"/>
    <w:rsid w:val="00393E8E"/>
    <w:rsid w:val="00394110"/>
    <w:rsid w:val="0039618B"/>
    <w:rsid w:val="0039693D"/>
    <w:rsid w:val="0039755E"/>
    <w:rsid w:val="003A05DC"/>
    <w:rsid w:val="003A1CFD"/>
    <w:rsid w:val="003A2C1C"/>
    <w:rsid w:val="003A2CED"/>
    <w:rsid w:val="003A3238"/>
    <w:rsid w:val="003A363C"/>
    <w:rsid w:val="003A4208"/>
    <w:rsid w:val="003A5430"/>
    <w:rsid w:val="003A5719"/>
    <w:rsid w:val="003A5A7E"/>
    <w:rsid w:val="003A68B3"/>
    <w:rsid w:val="003A7993"/>
    <w:rsid w:val="003A7DD6"/>
    <w:rsid w:val="003B1088"/>
    <w:rsid w:val="003B3616"/>
    <w:rsid w:val="003B5571"/>
    <w:rsid w:val="003B5704"/>
    <w:rsid w:val="003B7C89"/>
    <w:rsid w:val="003C01FA"/>
    <w:rsid w:val="003C0418"/>
    <w:rsid w:val="003C2725"/>
    <w:rsid w:val="003C2A77"/>
    <w:rsid w:val="003C6A06"/>
    <w:rsid w:val="003C7421"/>
    <w:rsid w:val="003D17D7"/>
    <w:rsid w:val="003D1BC7"/>
    <w:rsid w:val="003D4293"/>
    <w:rsid w:val="003D42E8"/>
    <w:rsid w:val="003D4A71"/>
    <w:rsid w:val="003D4C09"/>
    <w:rsid w:val="003D512F"/>
    <w:rsid w:val="003D5595"/>
    <w:rsid w:val="003E052C"/>
    <w:rsid w:val="003E0BFF"/>
    <w:rsid w:val="003E2D15"/>
    <w:rsid w:val="003E3196"/>
    <w:rsid w:val="003E428C"/>
    <w:rsid w:val="003E453D"/>
    <w:rsid w:val="003E4E3C"/>
    <w:rsid w:val="003E5401"/>
    <w:rsid w:val="003E60AF"/>
    <w:rsid w:val="003E63D9"/>
    <w:rsid w:val="003E7CA7"/>
    <w:rsid w:val="003F12D7"/>
    <w:rsid w:val="003F2296"/>
    <w:rsid w:val="003F2312"/>
    <w:rsid w:val="003F2F1C"/>
    <w:rsid w:val="003F4AC7"/>
    <w:rsid w:val="003F4EC6"/>
    <w:rsid w:val="003F5A28"/>
    <w:rsid w:val="003F5FAB"/>
    <w:rsid w:val="003F7315"/>
    <w:rsid w:val="0040225E"/>
    <w:rsid w:val="0040278A"/>
    <w:rsid w:val="004032EA"/>
    <w:rsid w:val="00404FCE"/>
    <w:rsid w:val="00405BD8"/>
    <w:rsid w:val="0040757A"/>
    <w:rsid w:val="00410323"/>
    <w:rsid w:val="00410527"/>
    <w:rsid w:val="004107C2"/>
    <w:rsid w:val="004117DE"/>
    <w:rsid w:val="00412254"/>
    <w:rsid w:val="00414B93"/>
    <w:rsid w:val="00415009"/>
    <w:rsid w:val="00415230"/>
    <w:rsid w:val="00415415"/>
    <w:rsid w:val="00416A02"/>
    <w:rsid w:val="0042003D"/>
    <w:rsid w:val="00421D8C"/>
    <w:rsid w:val="00421F42"/>
    <w:rsid w:val="00422605"/>
    <w:rsid w:val="00422BC7"/>
    <w:rsid w:val="0042343C"/>
    <w:rsid w:val="00424D02"/>
    <w:rsid w:val="00426F6E"/>
    <w:rsid w:val="00427672"/>
    <w:rsid w:val="00427986"/>
    <w:rsid w:val="00430179"/>
    <w:rsid w:val="00430A48"/>
    <w:rsid w:val="00430E14"/>
    <w:rsid w:val="0043141C"/>
    <w:rsid w:val="00431C08"/>
    <w:rsid w:val="0043306F"/>
    <w:rsid w:val="00434CF8"/>
    <w:rsid w:val="00440E88"/>
    <w:rsid w:val="004411D6"/>
    <w:rsid w:val="00443174"/>
    <w:rsid w:val="004431A9"/>
    <w:rsid w:val="00445AD8"/>
    <w:rsid w:val="004478D6"/>
    <w:rsid w:val="004479C7"/>
    <w:rsid w:val="00447D28"/>
    <w:rsid w:val="0045034E"/>
    <w:rsid w:val="00450B3A"/>
    <w:rsid w:val="0045104C"/>
    <w:rsid w:val="004519EE"/>
    <w:rsid w:val="00451C7A"/>
    <w:rsid w:val="00453B2F"/>
    <w:rsid w:val="0045630C"/>
    <w:rsid w:val="00456B42"/>
    <w:rsid w:val="004571AC"/>
    <w:rsid w:val="00461B44"/>
    <w:rsid w:val="00465172"/>
    <w:rsid w:val="0046584C"/>
    <w:rsid w:val="00465AA0"/>
    <w:rsid w:val="00466AB2"/>
    <w:rsid w:val="004707AB"/>
    <w:rsid w:val="0047097B"/>
    <w:rsid w:val="004717DC"/>
    <w:rsid w:val="00472111"/>
    <w:rsid w:val="00473137"/>
    <w:rsid w:val="0047357C"/>
    <w:rsid w:val="004749EB"/>
    <w:rsid w:val="004751C3"/>
    <w:rsid w:val="004756CE"/>
    <w:rsid w:val="00477192"/>
    <w:rsid w:val="00481CC5"/>
    <w:rsid w:val="004854BB"/>
    <w:rsid w:val="00486088"/>
    <w:rsid w:val="00486359"/>
    <w:rsid w:val="00490010"/>
    <w:rsid w:val="004906B8"/>
    <w:rsid w:val="00490B45"/>
    <w:rsid w:val="00490CCD"/>
    <w:rsid w:val="004911C5"/>
    <w:rsid w:val="0049358B"/>
    <w:rsid w:val="00493F3B"/>
    <w:rsid w:val="00493F46"/>
    <w:rsid w:val="00494D4F"/>
    <w:rsid w:val="004957CB"/>
    <w:rsid w:val="004958A1"/>
    <w:rsid w:val="00496837"/>
    <w:rsid w:val="0049717C"/>
    <w:rsid w:val="0049780B"/>
    <w:rsid w:val="004A0602"/>
    <w:rsid w:val="004A092D"/>
    <w:rsid w:val="004A0E05"/>
    <w:rsid w:val="004A1176"/>
    <w:rsid w:val="004A17CB"/>
    <w:rsid w:val="004A19D2"/>
    <w:rsid w:val="004A1E9F"/>
    <w:rsid w:val="004A3764"/>
    <w:rsid w:val="004A3F8F"/>
    <w:rsid w:val="004A4C40"/>
    <w:rsid w:val="004A4F25"/>
    <w:rsid w:val="004A607B"/>
    <w:rsid w:val="004A6405"/>
    <w:rsid w:val="004A79AC"/>
    <w:rsid w:val="004B041E"/>
    <w:rsid w:val="004B35DF"/>
    <w:rsid w:val="004B3DF3"/>
    <w:rsid w:val="004B4A7E"/>
    <w:rsid w:val="004B5110"/>
    <w:rsid w:val="004B529D"/>
    <w:rsid w:val="004B5308"/>
    <w:rsid w:val="004B6252"/>
    <w:rsid w:val="004B6627"/>
    <w:rsid w:val="004B67D8"/>
    <w:rsid w:val="004B6CBE"/>
    <w:rsid w:val="004B7558"/>
    <w:rsid w:val="004C0187"/>
    <w:rsid w:val="004C01EA"/>
    <w:rsid w:val="004C2019"/>
    <w:rsid w:val="004C2391"/>
    <w:rsid w:val="004C2C88"/>
    <w:rsid w:val="004C40C3"/>
    <w:rsid w:val="004C4C55"/>
    <w:rsid w:val="004D0936"/>
    <w:rsid w:val="004D0957"/>
    <w:rsid w:val="004D1D95"/>
    <w:rsid w:val="004D2652"/>
    <w:rsid w:val="004D2953"/>
    <w:rsid w:val="004D29D6"/>
    <w:rsid w:val="004D33BD"/>
    <w:rsid w:val="004D34E3"/>
    <w:rsid w:val="004D372B"/>
    <w:rsid w:val="004D391D"/>
    <w:rsid w:val="004D4F9B"/>
    <w:rsid w:val="004D54C8"/>
    <w:rsid w:val="004D562F"/>
    <w:rsid w:val="004D583D"/>
    <w:rsid w:val="004D5B27"/>
    <w:rsid w:val="004D60B9"/>
    <w:rsid w:val="004D7571"/>
    <w:rsid w:val="004D7CC4"/>
    <w:rsid w:val="004E0CA7"/>
    <w:rsid w:val="004E180E"/>
    <w:rsid w:val="004E23CC"/>
    <w:rsid w:val="004E242F"/>
    <w:rsid w:val="004E2814"/>
    <w:rsid w:val="004E4C47"/>
    <w:rsid w:val="004E5DCD"/>
    <w:rsid w:val="004E6856"/>
    <w:rsid w:val="004E6D71"/>
    <w:rsid w:val="004E78EA"/>
    <w:rsid w:val="004E7BFF"/>
    <w:rsid w:val="004F03CD"/>
    <w:rsid w:val="004F08E8"/>
    <w:rsid w:val="004F0A5F"/>
    <w:rsid w:val="004F0F0A"/>
    <w:rsid w:val="004F1289"/>
    <w:rsid w:val="004F214C"/>
    <w:rsid w:val="004F2ED7"/>
    <w:rsid w:val="004F45D9"/>
    <w:rsid w:val="004F4789"/>
    <w:rsid w:val="004F50C2"/>
    <w:rsid w:val="004F622E"/>
    <w:rsid w:val="004F63E2"/>
    <w:rsid w:val="004F6AA9"/>
    <w:rsid w:val="004F74BD"/>
    <w:rsid w:val="005001ED"/>
    <w:rsid w:val="00502BBE"/>
    <w:rsid w:val="00503C63"/>
    <w:rsid w:val="005046F3"/>
    <w:rsid w:val="00504C1D"/>
    <w:rsid w:val="00505733"/>
    <w:rsid w:val="00507618"/>
    <w:rsid w:val="00507D5E"/>
    <w:rsid w:val="00511BE2"/>
    <w:rsid w:val="00511C73"/>
    <w:rsid w:val="0051280B"/>
    <w:rsid w:val="00513F98"/>
    <w:rsid w:val="00514AC0"/>
    <w:rsid w:val="0051557B"/>
    <w:rsid w:val="0051789D"/>
    <w:rsid w:val="0052063F"/>
    <w:rsid w:val="005217A6"/>
    <w:rsid w:val="00522401"/>
    <w:rsid w:val="00523474"/>
    <w:rsid w:val="0052542C"/>
    <w:rsid w:val="00525763"/>
    <w:rsid w:val="00525F9F"/>
    <w:rsid w:val="0052652D"/>
    <w:rsid w:val="00526736"/>
    <w:rsid w:val="00526CB9"/>
    <w:rsid w:val="005276A8"/>
    <w:rsid w:val="00530E58"/>
    <w:rsid w:val="00531DA6"/>
    <w:rsid w:val="00531F1A"/>
    <w:rsid w:val="0053347F"/>
    <w:rsid w:val="00533A0C"/>
    <w:rsid w:val="00534D80"/>
    <w:rsid w:val="00534DCC"/>
    <w:rsid w:val="00534FDC"/>
    <w:rsid w:val="00537682"/>
    <w:rsid w:val="00537895"/>
    <w:rsid w:val="00540E20"/>
    <w:rsid w:val="0054189D"/>
    <w:rsid w:val="00543816"/>
    <w:rsid w:val="00544202"/>
    <w:rsid w:val="005447F8"/>
    <w:rsid w:val="00546883"/>
    <w:rsid w:val="0054722C"/>
    <w:rsid w:val="00547998"/>
    <w:rsid w:val="00547E65"/>
    <w:rsid w:val="00547F1B"/>
    <w:rsid w:val="0055063E"/>
    <w:rsid w:val="00552A04"/>
    <w:rsid w:val="005530E7"/>
    <w:rsid w:val="00555DF5"/>
    <w:rsid w:val="005600AC"/>
    <w:rsid w:val="005609F8"/>
    <w:rsid w:val="00560D41"/>
    <w:rsid w:val="005626B9"/>
    <w:rsid w:val="005640F0"/>
    <w:rsid w:val="005649D7"/>
    <w:rsid w:val="0056528C"/>
    <w:rsid w:val="00565D16"/>
    <w:rsid w:val="00566D44"/>
    <w:rsid w:val="005702C2"/>
    <w:rsid w:val="00571451"/>
    <w:rsid w:val="00571631"/>
    <w:rsid w:val="005722A9"/>
    <w:rsid w:val="00572832"/>
    <w:rsid w:val="00573E3E"/>
    <w:rsid w:val="00574496"/>
    <w:rsid w:val="0057495B"/>
    <w:rsid w:val="00574D31"/>
    <w:rsid w:val="00574F1B"/>
    <w:rsid w:val="00575047"/>
    <w:rsid w:val="00575176"/>
    <w:rsid w:val="005751E4"/>
    <w:rsid w:val="005757EB"/>
    <w:rsid w:val="00576051"/>
    <w:rsid w:val="005762BE"/>
    <w:rsid w:val="00577903"/>
    <w:rsid w:val="00577B90"/>
    <w:rsid w:val="0058170D"/>
    <w:rsid w:val="005817D6"/>
    <w:rsid w:val="0058231E"/>
    <w:rsid w:val="00582EAE"/>
    <w:rsid w:val="005839A1"/>
    <w:rsid w:val="00586024"/>
    <w:rsid w:val="00587865"/>
    <w:rsid w:val="00587DA3"/>
    <w:rsid w:val="00590F14"/>
    <w:rsid w:val="00592A0D"/>
    <w:rsid w:val="00592B24"/>
    <w:rsid w:val="0059301F"/>
    <w:rsid w:val="0059320D"/>
    <w:rsid w:val="0059347E"/>
    <w:rsid w:val="00593701"/>
    <w:rsid w:val="00593CCC"/>
    <w:rsid w:val="00593E0A"/>
    <w:rsid w:val="00594375"/>
    <w:rsid w:val="00595690"/>
    <w:rsid w:val="005A2A95"/>
    <w:rsid w:val="005A44F8"/>
    <w:rsid w:val="005A5920"/>
    <w:rsid w:val="005A6E24"/>
    <w:rsid w:val="005B1941"/>
    <w:rsid w:val="005B1F97"/>
    <w:rsid w:val="005B2C84"/>
    <w:rsid w:val="005B35FF"/>
    <w:rsid w:val="005B36FE"/>
    <w:rsid w:val="005B4C0E"/>
    <w:rsid w:val="005B4C44"/>
    <w:rsid w:val="005B56D5"/>
    <w:rsid w:val="005B6960"/>
    <w:rsid w:val="005C0CEB"/>
    <w:rsid w:val="005C10DE"/>
    <w:rsid w:val="005C2A96"/>
    <w:rsid w:val="005C323B"/>
    <w:rsid w:val="005C33CE"/>
    <w:rsid w:val="005C348B"/>
    <w:rsid w:val="005C41C3"/>
    <w:rsid w:val="005C4751"/>
    <w:rsid w:val="005C4A92"/>
    <w:rsid w:val="005C52D0"/>
    <w:rsid w:val="005C638B"/>
    <w:rsid w:val="005C6C56"/>
    <w:rsid w:val="005C6E41"/>
    <w:rsid w:val="005C7CA7"/>
    <w:rsid w:val="005D0158"/>
    <w:rsid w:val="005D12D3"/>
    <w:rsid w:val="005D17F8"/>
    <w:rsid w:val="005D1E34"/>
    <w:rsid w:val="005D35FD"/>
    <w:rsid w:val="005D514E"/>
    <w:rsid w:val="005D5251"/>
    <w:rsid w:val="005D7641"/>
    <w:rsid w:val="005E054C"/>
    <w:rsid w:val="005E05C5"/>
    <w:rsid w:val="005E1436"/>
    <w:rsid w:val="005E164F"/>
    <w:rsid w:val="005E2268"/>
    <w:rsid w:val="005E31B4"/>
    <w:rsid w:val="005E3AA0"/>
    <w:rsid w:val="005E49E4"/>
    <w:rsid w:val="005E54EC"/>
    <w:rsid w:val="005E59A3"/>
    <w:rsid w:val="005E5B15"/>
    <w:rsid w:val="005E5F78"/>
    <w:rsid w:val="005E6280"/>
    <w:rsid w:val="005E71FA"/>
    <w:rsid w:val="005E7D1A"/>
    <w:rsid w:val="005F1066"/>
    <w:rsid w:val="005F33C0"/>
    <w:rsid w:val="005F3660"/>
    <w:rsid w:val="005F44CD"/>
    <w:rsid w:val="005F5381"/>
    <w:rsid w:val="005F6000"/>
    <w:rsid w:val="005F62AF"/>
    <w:rsid w:val="005F7951"/>
    <w:rsid w:val="005F7E35"/>
    <w:rsid w:val="006004FF"/>
    <w:rsid w:val="00600BEF"/>
    <w:rsid w:val="00600DE1"/>
    <w:rsid w:val="00601BB6"/>
    <w:rsid w:val="00601D05"/>
    <w:rsid w:val="00602216"/>
    <w:rsid w:val="00602268"/>
    <w:rsid w:val="006032DE"/>
    <w:rsid w:val="00603F59"/>
    <w:rsid w:val="006042D1"/>
    <w:rsid w:val="00604527"/>
    <w:rsid w:val="00605844"/>
    <w:rsid w:val="00606658"/>
    <w:rsid w:val="006105D4"/>
    <w:rsid w:val="00610BC0"/>
    <w:rsid w:val="006112AF"/>
    <w:rsid w:val="00611883"/>
    <w:rsid w:val="00611A90"/>
    <w:rsid w:val="00611E74"/>
    <w:rsid w:val="00611E88"/>
    <w:rsid w:val="00612385"/>
    <w:rsid w:val="00613922"/>
    <w:rsid w:val="0061466A"/>
    <w:rsid w:val="00614AAC"/>
    <w:rsid w:val="00614B8F"/>
    <w:rsid w:val="00614C55"/>
    <w:rsid w:val="006154C3"/>
    <w:rsid w:val="00616119"/>
    <w:rsid w:val="00616852"/>
    <w:rsid w:val="00616C49"/>
    <w:rsid w:val="00616D7E"/>
    <w:rsid w:val="00617972"/>
    <w:rsid w:val="0062070A"/>
    <w:rsid w:val="0062085B"/>
    <w:rsid w:val="00620B08"/>
    <w:rsid w:val="00621CB6"/>
    <w:rsid w:val="00622540"/>
    <w:rsid w:val="006228D9"/>
    <w:rsid w:val="00622B0F"/>
    <w:rsid w:val="00622BDF"/>
    <w:rsid w:val="00622DC7"/>
    <w:rsid w:val="006233AD"/>
    <w:rsid w:val="00623852"/>
    <w:rsid w:val="006239A4"/>
    <w:rsid w:val="0062406A"/>
    <w:rsid w:val="00625E0B"/>
    <w:rsid w:val="00626490"/>
    <w:rsid w:val="00626677"/>
    <w:rsid w:val="00627017"/>
    <w:rsid w:val="00627577"/>
    <w:rsid w:val="00630639"/>
    <w:rsid w:val="006325F8"/>
    <w:rsid w:val="00632A0C"/>
    <w:rsid w:val="00633694"/>
    <w:rsid w:val="00633855"/>
    <w:rsid w:val="00633FF1"/>
    <w:rsid w:val="00635001"/>
    <w:rsid w:val="00636921"/>
    <w:rsid w:val="00637B53"/>
    <w:rsid w:val="00637DF2"/>
    <w:rsid w:val="00641941"/>
    <w:rsid w:val="00642A4A"/>
    <w:rsid w:val="00643838"/>
    <w:rsid w:val="00643EF7"/>
    <w:rsid w:val="00644A28"/>
    <w:rsid w:val="00645F0A"/>
    <w:rsid w:val="00646D0A"/>
    <w:rsid w:val="006501E6"/>
    <w:rsid w:val="0065130E"/>
    <w:rsid w:val="00652BDE"/>
    <w:rsid w:val="00652C25"/>
    <w:rsid w:val="00652C35"/>
    <w:rsid w:val="006534D1"/>
    <w:rsid w:val="006540C0"/>
    <w:rsid w:val="0065419C"/>
    <w:rsid w:val="006542B2"/>
    <w:rsid w:val="00657086"/>
    <w:rsid w:val="00660089"/>
    <w:rsid w:val="00660EB2"/>
    <w:rsid w:val="006613C2"/>
    <w:rsid w:val="0066177F"/>
    <w:rsid w:val="00661AF6"/>
    <w:rsid w:val="00662D29"/>
    <w:rsid w:val="00663E10"/>
    <w:rsid w:val="00663E24"/>
    <w:rsid w:val="006656F6"/>
    <w:rsid w:val="00666D5F"/>
    <w:rsid w:val="00667D69"/>
    <w:rsid w:val="0067048C"/>
    <w:rsid w:val="0067084B"/>
    <w:rsid w:val="006713D5"/>
    <w:rsid w:val="006728EB"/>
    <w:rsid w:val="00672DDA"/>
    <w:rsid w:val="00673ACE"/>
    <w:rsid w:val="00674959"/>
    <w:rsid w:val="006806BB"/>
    <w:rsid w:val="00680FA3"/>
    <w:rsid w:val="00681E7F"/>
    <w:rsid w:val="006834F4"/>
    <w:rsid w:val="006835D7"/>
    <w:rsid w:val="0068510B"/>
    <w:rsid w:val="006854BF"/>
    <w:rsid w:val="006866BB"/>
    <w:rsid w:val="00686CD8"/>
    <w:rsid w:val="00687171"/>
    <w:rsid w:val="00690B70"/>
    <w:rsid w:val="0069119A"/>
    <w:rsid w:val="00691242"/>
    <w:rsid w:val="00691E9F"/>
    <w:rsid w:val="00693D4F"/>
    <w:rsid w:val="006948CC"/>
    <w:rsid w:val="00696823"/>
    <w:rsid w:val="00696A23"/>
    <w:rsid w:val="0069790A"/>
    <w:rsid w:val="006A0EE0"/>
    <w:rsid w:val="006A1907"/>
    <w:rsid w:val="006A1A09"/>
    <w:rsid w:val="006A2823"/>
    <w:rsid w:val="006A296C"/>
    <w:rsid w:val="006A30A0"/>
    <w:rsid w:val="006A338E"/>
    <w:rsid w:val="006A392B"/>
    <w:rsid w:val="006A3BDD"/>
    <w:rsid w:val="006A3E08"/>
    <w:rsid w:val="006A515C"/>
    <w:rsid w:val="006A5919"/>
    <w:rsid w:val="006A6ADA"/>
    <w:rsid w:val="006B0AB3"/>
    <w:rsid w:val="006B10CA"/>
    <w:rsid w:val="006B295A"/>
    <w:rsid w:val="006B4035"/>
    <w:rsid w:val="006B44AB"/>
    <w:rsid w:val="006B5F68"/>
    <w:rsid w:val="006B6135"/>
    <w:rsid w:val="006B71D6"/>
    <w:rsid w:val="006C0014"/>
    <w:rsid w:val="006C08E1"/>
    <w:rsid w:val="006C0B97"/>
    <w:rsid w:val="006C10FC"/>
    <w:rsid w:val="006C1282"/>
    <w:rsid w:val="006C210A"/>
    <w:rsid w:val="006C45AA"/>
    <w:rsid w:val="006C51B8"/>
    <w:rsid w:val="006C550E"/>
    <w:rsid w:val="006C678D"/>
    <w:rsid w:val="006C6F2B"/>
    <w:rsid w:val="006D0DAF"/>
    <w:rsid w:val="006D14CB"/>
    <w:rsid w:val="006D2A10"/>
    <w:rsid w:val="006D2D21"/>
    <w:rsid w:val="006D451D"/>
    <w:rsid w:val="006D548F"/>
    <w:rsid w:val="006D5A53"/>
    <w:rsid w:val="006D7997"/>
    <w:rsid w:val="006D7B05"/>
    <w:rsid w:val="006E235B"/>
    <w:rsid w:val="006E4212"/>
    <w:rsid w:val="006E528C"/>
    <w:rsid w:val="006E6E31"/>
    <w:rsid w:val="006E7034"/>
    <w:rsid w:val="006E7873"/>
    <w:rsid w:val="006F273F"/>
    <w:rsid w:val="006F2BE5"/>
    <w:rsid w:val="006F36DF"/>
    <w:rsid w:val="006F4B39"/>
    <w:rsid w:val="006F4C7D"/>
    <w:rsid w:val="006F6E8A"/>
    <w:rsid w:val="006F748E"/>
    <w:rsid w:val="006F7ACD"/>
    <w:rsid w:val="0070024C"/>
    <w:rsid w:val="00700F9F"/>
    <w:rsid w:val="007013B3"/>
    <w:rsid w:val="00702168"/>
    <w:rsid w:val="00702257"/>
    <w:rsid w:val="007022B8"/>
    <w:rsid w:val="00703926"/>
    <w:rsid w:val="00703A35"/>
    <w:rsid w:val="0070443B"/>
    <w:rsid w:val="00704953"/>
    <w:rsid w:val="00704B85"/>
    <w:rsid w:val="0070520E"/>
    <w:rsid w:val="007053FE"/>
    <w:rsid w:val="007057D2"/>
    <w:rsid w:val="007103C8"/>
    <w:rsid w:val="0071099C"/>
    <w:rsid w:val="00710C49"/>
    <w:rsid w:val="00711064"/>
    <w:rsid w:val="0071199F"/>
    <w:rsid w:val="00711AE3"/>
    <w:rsid w:val="00712322"/>
    <w:rsid w:val="00713614"/>
    <w:rsid w:val="00714777"/>
    <w:rsid w:val="007147B8"/>
    <w:rsid w:val="007151AD"/>
    <w:rsid w:val="0071540E"/>
    <w:rsid w:val="0071549A"/>
    <w:rsid w:val="007164AA"/>
    <w:rsid w:val="00716538"/>
    <w:rsid w:val="0072027F"/>
    <w:rsid w:val="00720A5B"/>
    <w:rsid w:val="00720AA8"/>
    <w:rsid w:val="00720D70"/>
    <w:rsid w:val="0072179E"/>
    <w:rsid w:val="007219A1"/>
    <w:rsid w:val="00722A1C"/>
    <w:rsid w:val="00722AB6"/>
    <w:rsid w:val="00723B51"/>
    <w:rsid w:val="0072421C"/>
    <w:rsid w:val="00725057"/>
    <w:rsid w:val="007257B1"/>
    <w:rsid w:val="00726E77"/>
    <w:rsid w:val="00727441"/>
    <w:rsid w:val="007308D3"/>
    <w:rsid w:val="00730B4E"/>
    <w:rsid w:val="007315E0"/>
    <w:rsid w:val="0073205A"/>
    <w:rsid w:val="00732A9F"/>
    <w:rsid w:val="00732FE5"/>
    <w:rsid w:val="00733584"/>
    <w:rsid w:val="007338FD"/>
    <w:rsid w:val="00734AE1"/>
    <w:rsid w:val="00734FB8"/>
    <w:rsid w:val="0073611C"/>
    <w:rsid w:val="00736461"/>
    <w:rsid w:val="0073696C"/>
    <w:rsid w:val="00736C81"/>
    <w:rsid w:val="007371E0"/>
    <w:rsid w:val="0073739A"/>
    <w:rsid w:val="00743CF0"/>
    <w:rsid w:val="00744535"/>
    <w:rsid w:val="007446A9"/>
    <w:rsid w:val="00744E08"/>
    <w:rsid w:val="00745B54"/>
    <w:rsid w:val="00746F14"/>
    <w:rsid w:val="00746FBD"/>
    <w:rsid w:val="0075099A"/>
    <w:rsid w:val="00750F1F"/>
    <w:rsid w:val="00751F12"/>
    <w:rsid w:val="00753C00"/>
    <w:rsid w:val="007541BE"/>
    <w:rsid w:val="0075438F"/>
    <w:rsid w:val="00754C15"/>
    <w:rsid w:val="00754E14"/>
    <w:rsid w:val="00756A35"/>
    <w:rsid w:val="00756EA6"/>
    <w:rsid w:val="0075715A"/>
    <w:rsid w:val="00757785"/>
    <w:rsid w:val="00761727"/>
    <w:rsid w:val="00762D8F"/>
    <w:rsid w:val="00762F8B"/>
    <w:rsid w:val="00763371"/>
    <w:rsid w:val="00763583"/>
    <w:rsid w:val="00764E2C"/>
    <w:rsid w:val="007653F6"/>
    <w:rsid w:val="00765531"/>
    <w:rsid w:val="00765F48"/>
    <w:rsid w:val="007666F4"/>
    <w:rsid w:val="00766B26"/>
    <w:rsid w:val="007674B5"/>
    <w:rsid w:val="00767949"/>
    <w:rsid w:val="00771BC0"/>
    <w:rsid w:val="007734A2"/>
    <w:rsid w:val="00773D57"/>
    <w:rsid w:val="00774B08"/>
    <w:rsid w:val="00774BE9"/>
    <w:rsid w:val="00774FC2"/>
    <w:rsid w:val="00776A5D"/>
    <w:rsid w:val="00776D7E"/>
    <w:rsid w:val="00776E4A"/>
    <w:rsid w:val="0077760D"/>
    <w:rsid w:val="00780988"/>
    <w:rsid w:val="00782879"/>
    <w:rsid w:val="007839FC"/>
    <w:rsid w:val="00784384"/>
    <w:rsid w:val="0078448F"/>
    <w:rsid w:val="00787019"/>
    <w:rsid w:val="00787157"/>
    <w:rsid w:val="00790025"/>
    <w:rsid w:val="00790CD2"/>
    <w:rsid w:val="0079147F"/>
    <w:rsid w:val="00791B83"/>
    <w:rsid w:val="007921BB"/>
    <w:rsid w:val="00794CB4"/>
    <w:rsid w:val="007959DB"/>
    <w:rsid w:val="00797D13"/>
    <w:rsid w:val="007A1730"/>
    <w:rsid w:val="007A6027"/>
    <w:rsid w:val="007A67F7"/>
    <w:rsid w:val="007A74B4"/>
    <w:rsid w:val="007B18DA"/>
    <w:rsid w:val="007B20E5"/>
    <w:rsid w:val="007B2B24"/>
    <w:rsid w:val="007B2F21"/>
    <w:rsid w:val="007B377D"/>
    <w:rsid w:val="007B4527"/>
    <w:rsid w:val="007B48E7"/>
    <w:rsid w:val="007B4A49"/>
    <w:rsid w:val="007B4B01"/>
    <w:rsid w:val="007B5846"/>
    <w:rsid w:val="007B665C"/>
    <w:rsid w:val="007B67BE"/>
    <w:rsid w:val="007B6C35"/>
    <w:rsid w:val="007C02B0"/>
    <w:rsid w:val="007C071B"/>
    <w:rsid w:val="007C0920"/>
    <w:rsid w:val="007C0F11"/>
    <w:rsid w:val="007C1FE3"/>
    <w:rsid w:val="007C20D2"/>
    <w:rsid w:val="007C4D10"/>
    <w:rsid w:val="007C50EB"/>
    <w:rsid w:val="007C74AF"/>
    <w:rsid w:val="007D1558"/>
    <w:rsid w:val="007D1F35"/>
    <w:rsid w:val="007D3108"/>
    <w:rsid w:val="007D585E"/>
    <w:rsid w:val="007D5867"/>
    <w:rsid w:val="007D6121"/>
    <w:rsid w:val="007D6175"/>
    <w:rsid w:val="007D74C2"/>
    <w:rsid w:val="007E0C92"/>
    <w:rsid w:val="007E1077"/>
    <w:rsid w:val="007E1979"/>
    <w:rsid w:val="007E19FB"/>
    <w:rsid w:val="007E1E54"/>
    <w:rsid w:val="007E2579"/>
    <w:rsid w:val="007E260C"/>
    <w:rsid w:val="007E2D7F"/>
    <w:rsid w:val="007E4062"/>
    <w:rsid w:val="007E4B3E"/>
    <w:rsid w:val="007E4FAF"/>
    <w:rsid w:val="007E5A56"/>
    <w:rsid w:val="007E5A9F"/>
    <w:rsid w:val="007E601E"/>
    <w:rsid w:val="007E6899"/>
    <w:rsid w:val="007E6BAA"/>
    <w:rsid w:val="007E6F5D"/>
    <w:rsid w:val="007F1138"/>
    <w:rsid w:val="007F265D"/>
    <w:rsid w:val="007F2766"/>
    <w:rsid w:val="007F3519"/>
    <w:rsid w:val="007F38E6"/>
    <w:rsid w:val="007F5964"/>
    <w:rsid w:val="007F627F"/>
    <w:rsid w:val="007F6340"/>
    <w:rsid w:val="007F6D97"/>
    <w:rsid w:val="00800D39"/>
    <w:rsid w:val="008015EA"/>
    <w:rsid w:val="00801B94"/>
    <w:rsid w:val="00801C67"/>
    <w:rsid w:val="00802B17"/>
    <w:rsid w:val="00802C55"/>
    <w:rsid w:val="00802F74"/>
    <w:rsid w:val="00803590"/>
    <w:rsid w:val="008037D7"/>
    <w:rsid w:val="008040C3"/>
    <w:rsid w:val="00804C8A"/>
    <w:rsid w:val="008068C0"/>
    <w:rsid w:val="00806C48"/>
    <w:rsid w:val="00806CE3"/>
    <w:rsid w:val="008072FF"/>
    <w:rsid w:val="008077D2"/>
    <w:rsid w:val="00807C92"/>
    <w:rsid w:val="00810511"/>
    <w:rsid w:val="00810732"/>
    <w:rsid w:val="0081096A"/>
    <w:rsid w:val="0081097D"/>
    <w:rsid w:val="00812419"/>
    <w:rsid w:val="00812E0B"/>
    <w:rsid w:val="00812EBD"/>
    <w:rsid w:val="00813224"/>
    <w:rsid w:val="00813782"/>
    <w:rsid w:val="0081401C"/>
    <w:rsid w:val="00815EB5"/>
    <w:rsid w:val="008165F9"/>
    <w:rsid w:val="00816D2E"/>
    <w:rsid w:val="00817CAF"/>
    <w:rsid w:val="00821320"/>
    <w:rsid w:val="008233AE"/>
    <w:rsid w:val="008239E9"/>
    <w:rsid w:val="00823FF8"/>
    <w:rsid w:val="00825B53"/>
    <w:rsid w:val="008269A4"/>
    <w:rsid w:val="008276C0"/>
    <w:rsid w:val="00827C20"/>
    <w:rsid w:val="00831D76"/>
    <w:rsid w:val="00832535"/>
    <w:rsid w:val="008331CA"/>
    <w:rsid w:val="00833509"/>
    <w:rsid w:val="00833A97"/>
    <w:rsid w:val="00833D0C"/>
    <w:rsid w:val="00834CF1"/>
    <w:rsid w:val="00834D1C"/>
    <w:rsid w:val="008352D8"/>
    <w:rsid w:val="0083702E"/>
    <w:rsid w:val="00837957"/>
    <w:rsid w:val="0084033B"/>
    <w:rsid w:val="00840BC9"/>
    <w:rsid w:val="00841C11"/>
    <w:rsid w:val="008427B5"/>
    <w:rsid w:val="0084295E"/>
    <w:rsid w:val="00844463"/>
    <w:rsid w:val="0084451C"/>
    <w:rsid w:val="00845307"/>
    <w:rsid w:val="0084620A"/>
    <w:rsid w:val="00846440"/>
    <w:rsid w:val="00846D01"/>
    <w:rsid w:val="00847DB4"/>
    <w:rsid w:val="00850D2F"/>
    <w:rsid w:val="00853A59"/>
    <w:rsid w:val="008541B5"/>
    <w:rsid w:val="00854AB3"/>
    <w:rsid w:val="008552E8"/>
    <w:rsid w:val="008570FF"/>
    <w:rsid w:val="00857C7E"/>
    <w:rsid w:val="00857F95"/>
    <w:rsid w:val="00860250"/>
    <w:rsid w:val="008608D4"/>
    <w:rsid w:val="00861543"/>
    <w:rsid w:val="00861D91"/>
    <w:rsid w:val="00862001"/>
    <w:rsid w:val="00862C5B"/>
    <w:rsid w:val="008635D3"/>
    <w:rsid w:val="00863B4E"/>
    <w:rsid w:val="008641E0"/>
    <w:rsid w:val="00864FF3"/>
    <w:rsid w:val="008651C7"/>
    <w:rsid w:val="00865F70"/>
    <w:rsid w:val="0086685E"/>
    <w:rsid w:val="00867227"/>
    <w:rsid w:val="00867467"/>
    <w:rsid w:val="00871941"/>
    <w:rsid w:val="00871E07"/>
    <w:rsid w:val="0087386C"/>
    <w:rsid w:val="00874069"/>
    <w:rsid w:val="00874A74"/>
    <w:rsid w:val="00874AF7"/>
    <w:rsid w:val="00876382"/>
    <w:rsid w:val="008768AC"/>
    <w:rsid w:val="00876E99"/>
    <w:rsid w:val="00877220"/>
    <w:rsid w:val="00880535"/>
    <w:rsid w:val="008811FA"/>
    <w:rsid w:val="00881B25"/>
    <w:rsid w:val="0088208F"/>
    <w:rsid w:val="0088280D"/>
    <w:rsid w:val="00882FC8"/>
    <w:rsid w:val="00883A9A"/>
    <w:rsid w:val="00883B68"/>
    <w:rsid w:val="00883EAC"/>
    <w:rsid w:val="00884616"/>
    <w:rsid w:val="00884D19"/>
    <w:rsid w:val="00885311"/>
    <w:rsid w:val="0089003C"/>
    <w:rsid w:val="0089068F"/>
    <w:rsid w:val="008907E0"/>
    <w:rsid w:val="00890BFE"/>
    <w:rsid w:val="00891037"/>
    <w:rsid w:val="00891A93"/>
    <w:rsid w:val="00892379"/>
    <w:rsid w:val="0089253E"/>
    <w:rsid w:val="00892D1D"/>
    <w:rsid w:val="0089394E"/>
    <w:rsid w:val="008949AB"/>
    <w:rsid w:val="008956FF"/>
    <w:rsid w:val="00895F41"/>
    <w:rsid w:val="00895F99"/>
    <w:rsid w:val="0089663D"/>
    <w:rsid w:val="008969E6"/>
    <w:rsid w:val="00897BA8"/>
    <w:rsid w:val="008A05F7"/>
    <w:rsid w:val="008A113F"/>
    <w:rsid w:val="008A3881"/>
    <w:rsid w:val="008A392A"/>
    <w:rsid w:val="008A3DBC"/>
    <w:rsid w:val="008A420C"/>
    <w:rsid w:val="008A6357"/>
    <w:rsid w:val="008B0138"/>
    <w:rsid w:val="008B1140"/>
    <w:rsid w:val="008B116D"/>
    <w:rsid w:val="008B165B"/>
    <w:rsid w:val="008B1B2C"/>
    <w:rsid w:val="008B1EE4"/>
    <w:rsid w:val="008B2CE3"/>
    <w:rsid w:val="008B2F1A"/>
    <w:rsid w:val="008B4432"/>
    <w:rsid w:val="008B4CF6"/>
    <w:rsid w:val="008B4E3A"/>
    <w:rsid w:val="008B4F0C"/>
    <w:rsid w:val="008B7617"/>
    <w:rsid w:val="008B7FD5"/>
    <w:rsid w:val="008C1362"/>
    <w:rsid w:val="008C18ED"/>
    <w:rsid w:val="008C2479"/>
    <w:rsid w:val="008C2ECF"/>
    <w:rsid w:val="008C362D"/>
    <w:rsid w:val="008C4CA3"/>
    <w:rsid w:val="008C578A"/>
    <w:rsid w:val="008C7CB2"/>
    <w:rsid w:val="008C7D9F"/>
    <w:rsid w:val="008D0797"/>
    <w:rsid w:val="008D095A"/>
    <w:rsid w:val="008D1200"/>
    <w:rsid w:val="008D13B4"/>
    <w:rsid w:val="008D18EB"/>
    <w:rsid w:val="008D31D6"/>
    <w:rsid w:val="008D3510"/>
    <w:rsid w:val="008D417E"/>
    <w:rsid w:val="008D4EFE"/>
    <w:rsid w:val="008D649B"/>
    <w:rsid w:val="008D692D"/>
    <w:rsid w:val="008D6CF3"/>
    <w:rsid w:val="008D7582"/>
    <w:rsid w:val="008D7BF8"/>
    <w:rsid w:val="008E09A4"/>
    <w:rsid w:val="008E0F1B"/>
    <w:rsid w:val="008E0F41"/>
    <w:rsid w:val="008E14DF"/>
    <w:rsid w:val="008E324A"/>
    <w:rsid w:val="008E330E"/>
    <w:rsid w:val="008E3C8A"/>
    <w:rsid w:val="008E70CC"/>
    <w:rsid w:val="008E7F47"/>
    <w:rsid w:val="008F0326"/>
    <w:rsid w:val="008F0851"/>
    <w:rsid w:val="008F0C26"/>
    <w:rsid w:val="008F0FA9"/>
    <w:rsid w:val="008F5CE9"/>
    <w:rsid w:val="008F7491"/>
    <w:rsid w:val="008F7632"/>
    <w:rsid w:val="009007B2"/>
    <w:rsid w:val="009011F6"/>
    <w:rsid w:val="00903490"/>
    <w:rsid w:val="00904030"/>
    <w:rsid w:val="0090410E"/>
    <w:rsid w:val="0090481B"/>
    <w:rsid w:val="00904F0F"/>
    <w:rsid w:val="00906B29"/>
    <w:rsid w:val="00910443"/>
    <w:rsid w:val="00910750"/>
    <w:rsid w:val="00911055"/>
    <w:rsid w:val="0091136A"/>
    <w:rsid w:val="009116F2"/>
    <w:rsid w:val="00911EC0"/>
    <w:rsid w:val="00916866"/>
    <w:rsid w:val="00920FD0"/>
    <w:rsid w:val="00921E77"/>
    <w:rsid w:val="00922C86"/>
    <w:rsid w:val="009235A3"/>
    <w:rsid w:val="00924188"/>
    <w:rsid w:val="00924AF4"/>
    <w:rsid w:val="0092509C"/>
    <w:rsid w:val="0092567F"/>
    <w:rsid w:val="0092570F"/>
    <w:rsid w:val="00925782"/>
    <w:rsid w:val="009301FA"/>
    <w:rsid w:val="00930466"/>
    <w:rsid w:val="00930F86"/>
    <w:rsid w:val="00931261"/>
    <w:rsid w:val="00931FA7"/>
    <w:rsid w:val="00932C1F"/>
    <w:rsid w:val="0093363A"/>
    <w:rsid w:val="00934403"/>
    <w:rsid w:val="00935AA9"/>
    <w:rsid w:val="0093701F"/>
    <w:rsid w:val="00940D38"/>
    <w:rsid w:val="00940F51"/>
    <w:rsid w:val="0094148E"/>
    <w:rsid w:val="0094221D"/>
    <w:rsid w:val="00943943"/>
    <w:rsid w:val="00946691"/>
    <w:rsid w:val="00951055"/>
    <w:rsid w:val="00951B6D"/>
    <w:rsid w:val="00953B00"/>
    <w:rsid w:val="00953E53"/>
    <w:rsid w:val="00954018"/>
    <w:rsid w:val="00955C80"/>
    <w:rsid w:val="00955D1A"/>
    <w:rsid w:val="0095605F"/>
    <w:rsid w:val="009561DB"/>
    <w:rsid w:val="0095708D"/>
    <w:rsid w:val="00960CA0"/>
    <w:rsid w:val="00962B9F"/>
    <w:rsid w:val="00963342"/>
    <w:rsid w:val="00964279"/>
    <w:rsid w:val="0096488F"/>
    <w:rsid w:val="009650AA"/>
    <w:rsid w:val="009653E4"/>
    <w:rsid w:val="0096605D"/>
    <w:rsid w:val="009700BA"/>
    <w:rsid w:val="00971DB9"/>
    <w:rsid w:val="009728EB"/>
    <w:rsid w:val="009730B7"/>
    <w:rsid w:val="009734D6"/>
    <w:rsid w:val="009740B5"/>
    <w:rsid w:val="00974D81"/>
    <w:rsid w:val="00974F6F"/>
    <w:rsid w:val="009756D8"/>
    <w:rsid w:val="00975B65"/>
    <w:rsid w:val="009760FC"/>
    <w:rsid w:val="00976253"/>
    <w:rsid w:val="00977785"/>
    <w:rsid w:val="00977F28"/>
    <w:rsid w:val="0098008F"/>
    <w:rsid w:val="009808A9"/>
    <w:rsid w:val="009813D4"/>
    <w:rsid w:val="009817AA"/>
    <w:rsid w:val="00983607"/>
    <w:rsid w:val="0098459B"/>
    <w:rsid w:val="00984B78"/>
    <w:rsid w:val="00985744"/>
    <w:rsid w:val="00985E96"/>
    <w:rsid w:val="00985F7E"/>
    <w:rsid w:val="00986015"/>
    <w:rsid w:val="009865D0"/>
    <w:rsid w:val="00986755"/>
    <w:rsid w:val="00987AEE"/>
    <w:rsid w:val="00990395"/>
    <w:rsid w:val="0099330A"/>
    <w:rsid w:val="009937D5"/>
    <w:rsid w:val="00993CE3"/>
    <w:rsid w:val="00995947"/>
    <w:rsid w:val="00995B70"/>
    <w:rsid w:val="00996120"/>
    <w:rsid w:val="00996A1F"/>
    <w:rsid w:val="009973ED"/>
    <w:rsid w:val="00997619"/>
    <w:rsid w:val="009A0998"/>
    <w:rsid w:val="009A1363"/>
    <w:rsid w:val="009A1FBB"/>
    <w:rsid w:val="009A29E8"/>
    <w:rsid w:val="009A2B10"/>
    <w:rsid w:val="009A3437"/>
    <w:rsid w:val="009A432D"/>
    <w:rsid w:val="009A489C"/>
    <w:rsid w:val="009A506E"/>
    <w:rsid w:val="009A555F"/>
    <w:rsid w:val="009A6033"/>
    <w:rsid w:val="009A711B"/>
    <w:rsid w:val="009A7346"/>
    <w:rsid w:val="009A79FF"/>
    <w:rsid w:val="009A7AE2"/>
    <w:rsid w:val="009A7EA0"/>
    <w:rsid w:val="009B2132"/>
    <w:rsid w:val="009B4143"/>
    <w:rsid w:val="009B42AB"/>
    <w:rsid w:val="009B4A19"/>
    <w:rsid w:val="009B50F9"/>
    <w:rsid w:val="009B6693"/>
    <w:rsid w:val="009B67BA"/>
    <w:rsid w:val="009B6F49"/>
    <w:rsid w:val="009B7C17"/>
    <w:rsid w:val="009B7DAA"/>
    <w:rsid w:val="009C0694"/>
    <w:rsid w:val="009C21C9"/>
    <w:rsid w:val="009C3437"/>
    <w:rsid w:val="009C3D43"/>
    <w:rsid w:val="009C4D7E"/>
    <w:rsid w:val="009C523B"/>
    <w:rsid w:val="009C6797"/>
    <w:rsid w:val="009C6B50"/>
    <w:rsid w:val="009C7AF6"/>
    <w:rsid w:val="009D2AB7"/>
    <w:rsid w:val="009D38AC"/>
    <w:rsid w:val="009D3F50"/>
    <w:rsid w:val="009D499B"/>
    <w:rsid w:val="009D6591"/>
    <w:rsid w:val="009D7183"/>
    <w:rsid w:val="009D7F3C"/>
    <w:rsid w:val="009E012F"/>
    <w:rsid w:val="009E164A"/>
    <w:rsid w:val="009E1D7F"/>
    <w:rsid w:val="009E1DE0"/>
    <w:rsid w:val="009E25D6"/>
    <w:rsid w:val="009E2B30"/>
    <w:rsid w:val="009E420B"/>
    <w:rsid w:val="009E4FF1"/>
    <w:rsid w:val="009E5F6F"/>
    <w:rsid w:val="009E6719"/>
    <w:rsid w:val="009E7D58"/>
    <w:rsid w:val="009F07EF"/>
    <w:rsid w:val="009F0920"/>
    <w:rsid w:val="009F3ED6"/>
    <w:rsid w:val="009F45AC"/>
    <w:rsid w:val="009F4970"/>
    <w:rsid w:val="009F4B22"/>
    <w:rsid w:val="009F56EB"/>
    <w:rsid w:val="009F763D"/>
    <w:rsid w:val="00A001F2"/>
    <w:rsid w:val="00A00A04"/>
    <w:rsid w:val="00A0140F"/>
    <w:rsid w:val="00A0177D"/>
    <w:rsid w:val="00A03487"/>
    <w:rsid w:val="00A03802"/>
    <w:rsid w:val="00A04D77"/>
    <w:rsid w:val="00A04FBC"/>
    <w:rsid w:val="00A050D4"/>
    <w:rsid w:val="00A05FF2"/>
    <w:rsid w:val="00A06FEC"/>
    <w:rsid w:val="00A07142"/>
    <w:rsid w:val="00A07404"/>
    <w:rsid w:val="00A1107C"/>
    <w:rsid w:val="00A129C6"/>
    <w:rsid w:val="00A12FA0"/>
    <w:rsid w:val="00A15C03"/>
    <w:rsid w:val="00A15DFC"/>
    <w:rsid w:val="00A162E1"/>
    <w:rsid w:val="00A166B6"/>
    <w:rsid w:val="00A16A7B"/>
    <w:rsid w:val="00A20280"/>
    <w:rsid w:val="00A2049E"/>
    <w:rsid w:val="00A20D5F"/>
    <w:rsid w:val="00A2155D"/>
    <w:rsid w:val="00A222C4"/>
    <w:rsid w:val="00A225E7"/>
    <w:rsid w:val="00A23053"/>
    <w:rsid w:val="00A23E78"/>
    <w:rsid w:val="00A24A5F"/>
    <w:rsid w:val="00A24ACC"/>
    <w:rsid w:val="00A24CE5"/>
    <w:rsid w:val="00A2510D"/>
    <w:rsid w:val="00A25134"/>
    <w:rsid w:val="00A251D3"/>
    <w:rsid w:val="00A253D4"/>
    <w:rsid w:val="00A25561"/>
    <w:rsid w:val="00A26561"/>
    <w:rsid w:val="00A27302"/>
    <w:rsid w:val="00A27DC3"/>
    <w:rsid w:val="00A30A51"/>
    <w:rsid w:val="00A311AF"/>
    <w:rsid w:val="00A321AF"/>
    <w:rsid w:val="00A323B5"/>
    <w:rsid w:val="00A33407"/>
    <w:rsid w:val="00A34A2B"/>
    <w:rsid w:val="00A34B27"/>
    <w:rsid w:val="00A34BDE"/>
    <w:rsid w:val="00A35A4C"/>
    <w:rsid w:val="00A36DF2"/>
    <w:rsid w:val="00A36F5E"/>
    <w:rsid w:val="00A41F01"/>
    <w:rsid w:val="00A42007"/>
    <w:rsid w:val="00A42473"/>
    <w:rsid w:val="00A42F6D"/>
    <w:rsid w:val="00A4300F"/>
    <w:rsid w:val="00A44193"/>
    <w:rsid w:val="00A452C8"/>
    <w:rsid w:val="00A45FD8"/>
    <w:rsid w:val="00A4618D"/>
    <w:rsid w:val="00A465EC"/>
    <w:rsid w:val="00A46C7D"/>
    <w:rsid w:val="00A46FF9"/>
    <w:rsid w:val="00A47178"/>
    <w:rsid w:val="00A50DB6"/>
    <w:rsid w:val="00A5195E"/>
    <w:rsid w:val="00A52145"/>
    <w:rsid w:val="00A5496F"/>
    <w:rsid w:val="00A55134"/>
    <w:rsid w:val="00A5556F"/>
    <w:rsid w:val="00A55A81"/>
    <w:rsid w:val="00A56224"/>
    <w:rsid w:val="00A570B7"/>
    <w:rsid w:val="00A6029B"/>
    <w:rsid w:val="00A6099F"/>
    <w:rsid w:val="00A61F48"/>
    <w:rsid w:val="00A621EB"/>
    <w:rsid w:val="00A6293F"/>
    <w:rsid w:val="00A62FF9"/>
    <w:rsid w:val="00A6474B"/>
    <w:rsid w:val="00A66433"/>
    <w:rsid w:val="00A6699A"/>
    <w:rsid w:val="00A66A3B"/>
    <w:rsid w:val="00A71516"/>
    <w:rsid w:val="00A71C27"/>
    <w:rsid w:val="00A71D5A"/>
    <w:rsid w:val="00A7264F"/>
    <w:rsid w:val="00A73D87"/>
    <w:rsid w:val="00A807D3"/>
    <w:rsid w:val="00A816A2"/>
    <w:rsid w:val="00A825D4"/>
    <w:rsid w:val="00A826AF"/>
    <w:rsid w:val="00A83571"/>
    <w:rsid w:val="00A847A2"/>
    <w:rsid w:val="00A85A38"/>
    <w:rsid w:val="00A85FD7"/>
    <w:rsid w:val="00A86196"/>
    <w:rsid w:val="00A875F1"/>
    <w:rsid w:val="00A87ABE"/>
    <w:rsid w:val="00A90B8D"/>
    <w:rsid w:val="00A93035"/>
    <w:rsid w:val="00A93C6F"/>
    <w:rsid w:val="00A947E7"/>
    <w:rsid w:val="00A94F71"/>
    <w:rsid w:val="00A958BF"/>
    <w:rsid w:val="00A96D03"/>
    <w:rsid w:val="00A973C9"/>
    <w:rsid w:val="00AA0F98"/>
    <w:rsid w:val="00AA1619"/>
    <w:rsid w:val="00AA32E8"/>
    <w:rsid w:val="00AA3347"/>
    <w:rsid w:val="00AA3660"/>
    <w:rsid w:val="00AA3E25"/>
    <w:rsid w:val="00AA65D0"/>
    <w:rsid w:val="00AA7A73"/>
    <w:rsid w:val="00AB0980"/>
    <w:rsid w:val="00AB0B77"/>
    <w:rsid w:val="00AB118D"/>
    <w:rsid w:val="00AB1FB0"/>
    <w:rsid w:val="00AB2581"/>
    <w:rsid w:val="00AB3D80"/>
    <w:rsid w:val="00AB6E4A"/>
    <w:rsid w:val="00AB7D27"/>
    <w:rsid w:val="00AB7DCF"/>
    <w:rsid w:val="00AC13A0"/>
    <w:rsid w:val="00AC2303"/>
    <w:rsid w:val="00AC3A6F"/>
    <w:rsid w:val="00AC4122"/>
    <w:rsid w:val="00AC431E"/>
    <w:rsid w:val="00AC44BB"/>
    <w:rsid w:val="00AC47EE"/>
    <w:rsid w:val="00AC5D32"/>
    <w:rsid w:val="00AC6255"/>
    <w:rsid w:val="00AC7096"/>
    <w:rsid w:val="00AC7F5D"/>
    <w:rsid w:val="00AD0097"/>
    <w:rsid w:val="00AD0657"/>
    <w:rsid w:val="00AD11ED"/>
    <w:rsid w:val="00AD1BAD"/>
    <w:rsid w:val="00AD24CC"/>
    <w:rsid w:val="00AD3CB0"/>
    <w:rsid w:val="00AD544C"/>
    <w:rsid w:val="00AE0B8D"/>
    <w:rsid w:val="00AE0EA9"/>
    <w:rsid w:val="00AE2384"/>
    <w:rsid w:val="00AE33FF"/>
    <w:rsid w:val="00AE35C7"/>
    <w:rsid w:val="00AE3943"/>
    <w:rsid w:val="00AE3ACF"/>
    <w:rsid w:val="00AE3D5B"/>
    <w:rsid w:val="00AE552A"/>
    <w:rsid w:val="00AE5E4D"/>
    <w:rsid w:val="00AE628D"/>
    <w:rsid w:val="00AF01C1"/>
    <w:rsid w:val="00AF0ED6"/>
    <w:rsid w:val="00AF241E"/>
    <w:rsid w:val="00AF29C7"/>
    <w:rsid w:val="00AF2CE2"/>
    <w:rsid w:val="00AF4622"/>
    <w:rsid w:val="00AF4A67"/>
    <w:rsid w:val="00AF4A82"/>
    <w:rsid w:val="00AF4FDA"/>
    <w:rsid w:val="00AF6715"/>
    <w:rsid w:val="00AF6A5F"/>
    <w:rsid w:val="00AF6EFB"/>
    <w:rsid w:val="00AF72B4"/>
    <w:rsid w:val="00B00595"/>
    <w:rsid w:val="00B0120A"/>
    <w:rsid w:val="00B018D0"/>
    <w:rsid w:val="00B02FD1"/>
    <w:rsid w:val="00B03D58"/>
    <w:rsid w:val="00B04DB9"/>
    <w:rsid w:val="00B05FDC"/>
    <w:rsid w:val="00B062E7"/>
    <w:rsid w:val="00B1167C"/>
    <w:rsid w:val="00B1169A"/>
    <w:rsid w:val="00B12EEE"/>
    <w:rsid w:val="00B1352D"/>
    <w:rsid w:val="00B14106"/>
    <w:rsid w:val="00B145E1"/>
    <w:rsid w:val="00B15252"/>
    <w:rsid w:val="00B154EC"/>
    <w:rsid w:val="00B15C99"/>
    <w:rsid w:val="00B15EF5"/>
    <w:rsid w:val="00B17804"/>
    <w:rsid w:val="00B20953"/>
    <w:rsid w:val="00B217A7"/>
    <w:rsid w:val="00B21BC0"/>
    <w:rsid w:val="00B234A3"/>
    <w:rsid w:val="00B23B2D"/>
    <w:rsid w:val="00B24A71"/>
    <w:rsid w:val="00B24B33"/>
    <w:rsid w:val="00B25B3B"/>
    <w:rsid w:val="00B25D51"/>
    <w:rsid w:val="00B2657B"/>
    <w:rsid w:val="00B26CF9"/>
    <w:rsid w:val="00B26DBE"/>
    <w:rsid w:val="00B271CB"/>
    <w:rsid w:val="00B2780C"/>
    <w:rsid w:val="00B312B0"/>
    <w:rsid w:val="00B32561"/>
    <w:rsid w:val="00B32E16"/>
    <w:rsid w:val="00B34500"/>
    <w:rsid w:val="00B34F2F"/>
    <w:rsid w:val="00B37B7F"/>
    <w:rsid w:val="00B433ED"/>
    <w:rsid w:val="00B435EB"/>
    <w:rsid w:val="00B43A7F"/>
    <w:rsid w:val="00B43D00"/>
    <w:rsid w:val="00B43F70"/>
    <w:rsid w:val="00B442A6"/>
    <w:rsid w:val="00B453A1"/>
    <w:rsid w:val="00B45835"/>
    <w:rsid w:val="00B458AC"/>
    <w:rsid w:val="00B45DEF"/>
    <w:rsid w:val="00B469C7"/>
    <w:rsid w:val="00B50B82"/>
    <w:rsid w:val="00B523D6"/>
    <w:rsid w:val="00B53AF6"/>
    <w:rsid w:val="00B53C92"/>
    <w:rsid w:val="00B5516F"/>
    <w:rsid w:val="00B56946"/>
    <w:rsid w:val="00B56E80"/>
    <w:rsid w:val="00B56FB2"/>
    <w:rsid w:val="00B57F5E"/>
    <w:rsid w:val="00B600EC"/>
    <w:rsid w:val="00B60D56"/>
    <w:rsid w:val="00B612C9"/>
    <w:rsid w:val="00B61DA5"/>
    <w:rsid w:val="00B621D5"/>
    <w:rsid w:val="00B62FD9"/>
    <w:rsid w:val="00B63D4F"/>
    <w:rsid w:val="00B63FF6"/>
    <w:rsid w:val="00B6765E"/>
    <w:rsid w:val="00B677E1"/>
    <w:rsid w:val="00B67838"/>
    <w:rsid w:val="00B718C5"/>
    <w:rsid w:val="00B71B70"/>
    <w:rsid w:val="00B72133"/>
    <w:rsid w:val="00B72D16"/>
    <w:rsid w:val="00B73222"/>
    <w:rsid w:val="00B7553E"/>
    <w:rsid w:val="00B75D1D"/>
    <w:rsid w:val="00B76E00"/>
    <w:rsid w:val="00B777D8"/>
    <w:rsid w:val="00B77969"/>
    <w:rsid w:val="00B77A88"/>
    <w:rsid w:val="00B77ACF"/>
    <w:rsid w:val="00B802B4"/>
    <w:rsid w:val="00B8056D"/>
    <w:rsid w:val="00B80C58"/>
    <w:rsid w:val="00B829C9"/>
    <w:rsid w:val="00B839A4"/>
    <w:rsid w:val="00B87EA5"/>
    <w:rsid w:val="00B916AC"/>
    <w:rsid w:val="00B91F33"/>
    <w:rsid w:val="00B920DE"/>
    <w:rsid w:val="00B938BF"/>
    <w:rsid w:val="00B93A84"/>
    <w:rsid w:val="00B94C92"/>
    <w:rsid w:val="00B94EC0"/>
    <w:rsid w:val="00B950BA"/>
    <w:rsid w:val="00B96149"/>
    <w:rsid w:val="00B9672E"/>
    <w:rsid w:val="00B96DB1"/>
    <w:rsid w:val="00B9725E"/>
    <w:rsid w:val="00B97E9D"/>
    <w:rsid w:val="00BA020E"/>
    <w:rsid w:val="00BA03B1"/>
    <w:rsid w:val="00BA0C39"/>
    <w:rsid w:val="00BA1016"/>
    <w:rsid w:val="00BA1BB3"/>
    <w:rsid w:val="00BA692F"/>
    <w:rsid w:val="00BA732C"/>
    <w:rsid w:val="00BB0759"/>
    <w:rsid w:val="00BB2917"/>
    <w:rsid w:val="00BB3188"/>
    <w:rsid w:val="00BB3759"/>
    <w:rsid w:val="00BB4160"/>
    <w:rsid w:val="00BB7396"/>
    <w:rsid w:val="00BB75F2"/>
    <w:rsid w:val="00BB79C0"/>
    <w:rsid w:val="00BB7AC6"/>
    <w:rsid w:val="00BC0F48"/>
    <w:rsid w:val="00BC1B72"/>
    <w:rsid w:val="00BC3291"/>
    <w:rsid w:val="00BC33AD"/>
    <w:rsid w:val="00BC3A25"/>
    <w:rsid w:val="00BC5360"/>
    <w:rsid w:val="00BC5646"/>
    <w:rsid w:val="00BC5A45"/>
    <w:rsid w:val="00BD1712"/>
    <w:rsid w:val="00BD2201"/>
    <w:rsid w:val="00BD3397"/>
    <w:rsid w:val="00BD381D"/>
    <w:rsid w:val="00BD442B"/>
    <w:rsid w:val="00BD4DE4"/>
    <w:rsid w:val="00BD70D2"/>
    <w:rsid w:val="00BD796C"/>
    <w:rsid w:val="00BD7E0D"/>
    <w:rsid w:val="00BE0737"/>
    <w:rsid w:val="00BE16E7"/>
    <w:rsid w:val="00BE2E3C"/>
    <w:rsid w:val="00BE3635"/>
    <w:rsid w:val="00BE4F03"/>
    <w:rsid w:val="00BE5B5F"/>
    <w:rsid w:val="00BE5FDB"/>
    <w:rsid w:val="00BE7C2B"/>
    <w:rsid w:val="00BF1195"/>
    <w:rsid w:val="00BF1C8E"/>
    <w:rsid w:val="00BF1E76"/>
    <w:rsid w:val="00BF2027"/>
    <w:rsid w:val="00BF3461"/>
    <w:rsid w:val="00BF39B9"/>
    <w:rsid w:val="00BF3A15"/>
    <w:rsid w:val="00BF570A"/>
    <w:rsid w:val="00BF5A51"/>
    <w:rsid w:val="00BF60C4"/>
    <w:rsid w:val="00BF66F7"/>
    <w:rsid w:val="00BF68C0"/>
    <w:rsid w:val="00BF6982"/>
    <w:rsid w:val="00BF6D2C"/>
    <w:rsid w:val="00BF7C8F"/>
    <w:rsid w:val="00BF7F54"/>
    <w:rsid w:val="00C01168"/>
    <w:rsid w:val="00C02665"/>
    <w:rsid w:val="00C0354B"/>
    <w:rsid w:val="00C0493F"/>
    <w:rsid w:val="00C0514E"/>
    <w:rsid w:val="00C055F7"/>
    <w:rsid w:val="00C05DC0"/>
    <w:rsid w:val="00C05DC8"/>
    <w:rsid w:val="00C05FE6"/>
    <w:rsid w:val="00C066DE"/>
    <w:rsid w:val="00C06B1C"/>
    <w:rsid w:val="00C11295"/>
    <w:rsid w:val="00C1178A"/>
    <w:rsid w:val="00C1346E"/>
    <w:rsid w:val="00C13807"/>
    <w:rsid w:val="00C14AD7"/>
    <w:rsid w:val="00C14FD4"/>
    <w:rsid w:val="00C157B6"/>
    <w:rsid w:val="00C17368"/>
    <w:rsid w:val="00C208F6"/>
    <w:rsid w:val="00C2132C"/>
    <w:rsid w:val="00C21F26"/>
    <w:rsid w:val="00C22C6C"/>
    <w:rsid w:val="00C231C2"/>
    <w:rsid w:val="00C24925"/>
    <w:rsid w:val="00C24BF4"/>
    <w:rsid w:val="00C24D54"/>
    <w:rsid w:val="00C26C6C"/>
    <w:rsid w:val="00C277D0"/>
    <w:rsid w:val="00C32755"/>
    <w:rsid w:val="00C32B8B"/>
    <w:rsid w:val="00C333D8"/>
    <w:rsid w:val="00C334E4"/>
    <w:rsid w:val="00C33A6D"/>
    <w:rsid w:val="00C33EAC"/>
    <w:rsid w:val="00C3423B"/>
    <w:rsid w:val="00C34C4E"/>
    <w:rsid w:val="00C368A8"/>
    <w:rsid w:val="00C36D9A"/>
    <w:rsid w:val="00C4172C"/>
    <w:rsid w:val="00C43EC0"/>
    <w:rsid w:val="00C445A6"/>
    <w:rsid w:val="00C471A8"/>
    <w:rsid w:val="00C47D9B"/>
    <w:rsid w:val="00C509EC"/>
    <w:rsid w:val="00C518F6"/>
    <w:rsid w:val="00C5210F"/>
    <w:rsid w:val="00C5235D"/>
    <w:rsid w:val="00C533CD"/>
    <w:rsid w:val="00C5492D"/>
    <w:rsid w:val="00C55141"/>
    <w:rsid w:val="00C61F05"/>
    <w:rsid w:val="00C64F2C"/>
    <w:rsid w:val="00C6565A"/>
    <w:rsid w:val="00C65EC3"/>
    <w:rsid w:val="00C66C0C"/>
    <w:rsid w:val="00C66FC9"/>
    <w:rsid w:val="00C670E6"/>
    <w:rsid w:val="00C70327"/>
    <w:rsid w:val="00C704CE"/>
    <w:rsid w:val="00C7054E"/>
    <w:rsid w:val="00C7186D"/>
    <w:rsid w:val="00C72D75"/>
    <w:rsid w:val="00C72D8C"/>
    <w:rsid w:val="00C732C1"/>
    <w:rsid w:val="00C7330E"/>
    <w:rsid w:val="00C742C6"/>
    <w:rsid w:val="00C747A7"/>
    <w:rsid w:val="00C751A2"/>
    <w:rsid w:val="00C75359"/>
    <w:rsid w:val="00C766D8"/>
    <w:rsid w:val="00C77632"/>
    <w:rsid w:val="00C77872"/>
    <w:rsid w:val="00C8050C"/>
    <w:rsid w:val="00C80961"/>
    <w:rsid w:val="00C80BF8"/>
    <w:rsid w:val="00C80F87"/>
    <w:rsid w:val="00C81475"/>
    <w:rsid w:val="00C817B7"/>
    <w:rsid w:val="00C818FD"/>
    <w:rsid w:val="00C819F2"/>
    <w:rsid w:val="00C822F2"/>
    <w:rsid w:val="00C82E02"/>
    <w:rsid w:val="00C8577F"/>
    <w:rsid w:val="00C85A40"/>
    <w:rsid w:val="00C878C9"/>
    <w:rsid w:val="00C87B0E"/>
    <w:rsid w:val="00C90D9B"/>
    <w:rsid w:val="00C942EA"/>
    <w:rsid w:val="00C94D5F"/>
    <w:rsid w:val="00C96B15"/>
    <w:rsid w:val="00CA10C6"/>
    <w:rsid w:val="00CA3326"/>
    <w:rsid w:val="00CA5345"/>
    <w:rsid w:val="00CA6CDC"/>
    <w:rsid w:val="00CA73F9"/>
    <w:rsid w:val="00CB01BD"/>
    <w:rsid w:val="00CB10BE"/>
    <w:rsid w:val="00CB1852"/>
    <w:rsid w:val="00CB1D58"/>
    <w:rsid w:val="00CB248C"/>
    <w:rsid w:val="00CB2560"/>
    <w:rsid w:val="00CB2A07"/>
    <w:rsid w:val="00CB36D4"/>
    <w:rsid w:val="00CB4E64"/>
    <w:rsid w:val="00CC02D1"/>
    <w:rsid w:val="00CC1602"/>
    <w:rsid w:val="00CC24B0"/>
    <w:rsid w:val="00CC33B8"/>
    <w:rsid w:val="00CC373D"/>
    <w:rsid w:val="00CC3CC3"/>
    <w:rsid w:val="00CC45B7"/>
    <w:rsid w:val="00CC4B85"/>
    <w:rsid w:val="00CC6584"/>
    <w:rsid w:val="00CC741A"/>
    <w:rsid w:val="00CC7CA8"/>
    <w:rsid w:val="00CD103A"/>
    <w:rsid w:val="00CD10DF"/>
    <w:rsid w:val="00CD148E"/>
    <w:rsid w:val="00CD23FF"/>
    <w:rsid w:val="00CD28BF"/>
    <w:rsid w:val="00CD2ECB"/>
    <w:rsid w:val="00CD2FAA"/>
    <w:rsid w:val="00CD338E"/>
    <w:rsid w:val="00CD3964"/>
    <w:rsid w:val="00CD3D77"/>
    <w:rsid w:val="00CD56AD"/>
    <w:rsid w:val="00CD57F2"/>
    <w:rsid w:val="00CD5AC1"/>
    <w:rsid w:val="00CD615B"/>
    <w:rsid w:val="00CD66C0"/>
    <w:rsid w:val="00CD686C"/>
    <w:rsid w:val="00CD7CDD"/>
    <w:rsid w:val="00CD7D76"/>
    <w:rsid w:val="00CE0126"/>
    <w:rsid w:val="00CE07BC"/>
    <w:rsid w:val="00CE0E88"/>
    <w:rsid w:val="00CE1611"/>
    <w:rsid w:val="00CE1A06"/>
    <w:rsid w:val="00CE26DB"/>
    <w:rsid w:val="00CE3AFD"/>
    <w:rsid w:val="00CE5F91"/>
    <w:rsid w:val="00CE6173"/>
    <w:rsid w:val="00CE63A2"/>
    <w:rsid w:val="00CE665D"/>
    <w:rsid w:val="00CE7251"/>
    <w:rsid w:val="00CF0714"/>
    <w:rsid w:val="00CF0EA8"/>
    <w:rsid w:val="00CF10E0"/>
    <w:rsid w:val="00CF12CC"/>
    <w:rsid w:val="00CF1F52"/>
    <w:rsid w:val="00CF6C8C"/>
    <w:rsid w:val="00CF73C8"/>
    <w:rsid w:val="00CF75DD"/>
    <w:rsid w:val="00CF7D23"/>
    <w:rsid w:val="00D00D6B"/>
    <w:rsid w:val="00D01531"/>
    <w:rsid w:val="00D01889"/>
    <w:rsid w:val="00D023FA"/>
    <w:rsid w:val="00D03ABE"/>
    <w:rsid w:val="00D04470"/>
    <w:rsid w:val="00D06621"/>
    <w:rsid w:val="00D10694"/>
    <w:rsid w:val="00D10BE2"/>
    <w:rsid w:val="00D117C9"/>
    <w:rsid w:val="00D11AC8"/>
    <w:rsid w:val="00D121F7"/>
    <w:rsid w:val="00D12D40"/>
    <w:rsid w:val="00D130D8"/>
    <w:rsid w:val="00D13336"/>
    <w:rsid w:val="00D13B02"/>
    <w:rsid w:val="00D2000A"/>
    <w:rsid w:val="00D24612"/>
    <w:rsid w:val="00D254E4"/>
    <w:rsid w:val="00D30DF1"/>
    <w:rsid w:val="00D314C4"/>
    <w:rsid w:val="00D354FD"/>
    <w:rsid w:val="00D363FE"/>
    <w:rsid w:val="00D37380"/>
    <w:rsid w:val="00D37BBA"/>
    <w:rsid w:val="00D403E4"/>
    <w:rsid w:val="00D41C81"/>
    <w:rsid w:val="00D43ED9"/>
    <w:rsid w:val="00D4523F"/>
    <w:rsid w:val="00D4534F"/>
    <w:rsid w:val="00D4648E"/>
    <w:rsid w:val="00D46796"/>
    <w:rsid w:val="00D47AD2"/>
    <w:rsid w:val="00D50210"/>
    <w:rsid w:val="00D50709"/>
    <w:rsid w:val="00D510ED"/>
    <w:rsid w:val="00D51F7E"/>
    <w:rsid w:val="00D52023"/>
    <w:rsid w:val="00D52419"/>
    <w:rsid w:val="00D52CBD"/>
    <w:rsid w:val="00D536A6"/>
    <w:rsid w:val="00D545E7"/>
    <w:rsid w:val="00D555BE"/>
    <w:rsid w:val="00D5609A"/>
    <w:rsid w:val="00D5641C"/>
    <w:rsid w:val="00D56811"/>
    <w:rsid w:val="00D57842"/>
    <w:rsid w:val="00D62B9C"/>
    <w:rsid w:val="00D63026"/>
    <w:rsid w:val="00D65548"/>
    <w:rsid w:val="00D65E7B"/>
    <w:rsid w:val="00D66135"/>
    <w:rsid w:val="00D66977"/>
    <w:rsid w:val="00D6771C"/>
    <w:rsid w:val="00D700D8"/>
    <w:rsid w:val="00D707BE"/>
    <w:rsid w:val="00D7134F"/>
    <w:rsid w:val="00D73178"/>
    <w:rsid w:val="00D7384A"/>
    <w:rsid w:val="00D74966"/>
    <w:rsid w:val="00D7529D"/>
    <w:rsid w:val="00D76758"/>
    <w:rsid w:val="00D779CE"/>
    <w:rsid w:val="00D80113"/>
    <w:rsid w:val="00D80DA2"/>
    <w:rsid w:val="00D81389"/>
    <w:rsid w:val="00D83F76"/>
    <w:rsid w:val="00D8552E"/>
    <w:rsid w:val="00D85F67"/>
    <w:rsid w:val="00D86073"/>
    <w:rsid w:val="00D86A58"/>
    <w:rsid w:val="00D87C15"/>
    <w:rsid w:val="00D87C45"/>
    <w:rsid w:val="00D91534"/>
    <w:rsid w:val="00D922D3"/>
    <w:rsid w:val="00D93C82"/>
    <w:rsid w:val="00D95A34"/>
    <w:rsid w:val="00D95AB4"/>
    <w:rsid w:val="00D96DE1"/>
    <w:rsid w:val="00D96F55"/>
    <w:rsid w:val="00D97FA5"/>
    <w:rsid w:val="00DA1C2A"/>
    <w:rsid w:val="00DA1C6B"/>
    <w:rsid w:val="00DA2420"/>
    <w:rsid w:val="00DA2AB3"/>
    <w:rsid w:val="00DA3018"/>
    <w:rsid w:val="00DA36A6"/>
    <w:rsid w:val="00DA37FA"/>
    <w:rsid w:val="00DA3CBA"/>
    <w:rsid w:val="00DA3F60"/>
    <w:rsid w:val="00DA4272"/>
    <w:rsid w:val="00DA4796"/>
    <w:rsid w:val="00DA6418"/>
    <w:rsid w:val="00DA67E6"/>
    <w:rsid w:val="00DA6AA5"/>
    <w:rsid w:val="00DA78C0"/>
    <w:rsid w:val="00DB114A"/>
    <w:rsid w:val="00DB21D2"/>
    <w:rsid w:val="00DB26F0"/>
    <w:rsid w:val="00DB4A62"/>
    <w:rsid w:val="00DB4B74"/>
    <w:rsid w:val="00DB4E68"/>
    <w:rsid w:val="00DB520E"/>
    <w:rsid w:val="00DB6598"/>
    <w:rsid w:val="00DB7048"/>
    <w:rsid w:val="00DB7A7F"/>
    <w:rsid w:val="00DB7B09"/>
    <w:rsid w:val="00DC01B5"/>
    <w:rsid w:val="00DC0E3E"/>
    <w:rsid w:val="00DC1FFF"/>
    <w:rsid w:val="00DC2C9A"/>
    <w:rsid w:val="00DC2F30"/>
    <w:rsid w:val="00DC3476"/>
    <w:rsid w:val="00DC6A07"/>
    <w:rsid w:val="00DC6EA6"/>
    <w:rsid w:val="00DD0EAA"/>
    <w:rsid w:val="00DD3B78"/>
    <w:rsid w:val="00DD5783"/>
    <w:rsid w:val="00DD6493"/>
    <w:rsid w:val="00DE0664"/>
    <w:rsid w:val="00DE068B"/>
    <w:rsid w:val="00DE177F"/>
    <w:rsid w:val="00DE285B"/>
    <w:rsid w:val="00DE2957"/>
    <w:rsid w:val="00DE2B0F"/>
    <w:rsid w:val="00DE4382"/>
    <w:rsid w:val="00DE46ED"/>
    <w:rsid w:val="00DE4F4E"/>
    <w:rsid w:val="00DE57C7"/>
    <w:rsid w:val="00DE6634"/>
    <w:rsid w:val="00DF156C"/>
    <w:rsid w:val="00DF15A1"/>
    <w:rsid w:val="00DF26F2"/>
    <w:rsid w:val="00DF2DE3"/>
    <w:rsid w:val="00DF478F"/>
    <w:rsid w:val="00DF4A14"/>
    <w:rsid w:val="00DF748F"/>
    <w:rsid w:val="00E0202A"/>
    <w:rsid w:val="00E020FA"/>
    <w:rsid w:val="00E02928"/>
    <w:rsid w:val="00E0424D"/>
    <w:rsid w:val="00E048A7"/>
    <w:rsid w:val="00E0515B"/>
    <w:rsid w:val="00E07303"/>
    <w:rsid w:val="00E078CE"/>
    <w:rsid w:val="00E101E0"/>
    <w:rsid w:val="00E103F5"/>
    <w:rsid w:val="00E10A77"/>
    <w:rsid w:val="00E12339"/>
    <w:rsid w:val="00E13117"/>
    <w:rsid w:val="00E138F2"/>
    <w:rsid w:val="00E13E73"/>
    <w:rsid w:val="00E158EA"/>
    <w:rsid w:val="00E16693"/>
    <w:rsid w:val="00E16C09"/>
    <w:rsid w:val="00E2077A"/>
    <w:rsid w:val="00E20A23"/>
    <w:rsid w:val="00E21A8A"/>
    <w:rsid w:val="00E2214A"/>
    <w:rsid w:val="00E221D0"/>
    <w:rsid w:val="00E2358E"/>
    <w:rsid w:val="00E30EAF"/>
    <w:rsid w:val="00E316B3"/>
    <w:rsid w:val="00E31B8E"/>
    <w:rsid w:val="00E32E17"/>
    <w:rsid w:val="00E332C0"/>
    <w:rsid w:val="00E3369E"/>
    <w:rsid w:val="00E3579C"/>
    <w:rsid w:val="00E35E21"/>
    <w:rsid w:val="00E36525"/>
    <w:rsid w:val="00E4171B"/>
    <w:rsid w:val="00E425F3"/>
    <w:rsid w:val="00E440A3"/>
    <w:rsid w:val="00E4415E"/>
    <w:rsid w:val="00E444BA"/>
    <w:rsid w:val="00E44A73"/>
    <w:rsid w:val="00E459ED"/>
    <w:rsid w:val="00E45A01"/>
    <w:rsid w:val="00E46CBE"/>
    <w:rsid w:val="00E47A3E"/>
    <w:rsid w:val="00E47A4C"/>
    <w:rsid w:val="00E47C2C"/>
    <w:rsid w:val="00E47D93"/>
    <w:rsid w:val="00E5030A"/>
    <w:rsid w:val="00E53302"/>
    <w:rsid w:val="00E543BE"/>
    <w:rsid w:val="00E54CC6"/>
    <w:rsid w:val="00E563E6"/>
    <w:rsid w:val="00E602E4"/>
    <w:rsid w:val="00E6059D"/>
    <w:rsid w:val="00E60CD6"/>
    <w:rsid w:val="00E628A5"/>
    <w:rsid w:val="00E62C75"/>
    <w:rsid w:val="00E640C6"/>
    <w:rsid w:val="00E6474B"/>
    <w:rsid w:val="00E64D6C"/>
    <w:rsid w:val="00E71B5F"/>
    <w:rsid w:val="00E72B19"/>
    <w:rsid w:val="00E73027"/>
    <w:rsid w:val="00E748F0"/>
    <w:rsid w:val="00E75258"/>
    <w:rsid w:val="00E76CDC"/>
    <w:rsid w:val="00E77148"/>
    <w:rsid w:val="00E80BAB"/>
    <w:rsid w:val="00E80C0F"/>
    <w:rsid w:val="00E8136E"/>
    <w:rsid w:val="00E8181B"/>
    <w:rsid w:val="00E82666"/>
    <w:rsid w:val="00E82ACF"/>
    <w:rsid w:val="00E82EB6"/>
    <w:rsid w:val="00E84E58"/>
    <w:rsid w:val="00E85030"/>
    <w:rsid w:val="00E867F7"/>
    <w:rsid w:val="00E9133A"/>
    <w:rsid w:val="00E927FA"/>
    <w:rsid w:val="00E9299C"/>
    <w:rsid w:val="00E92C65"/>
    <w:rsid w:val="00E93007"/>
    <w:rsid w:val="00E93889"/>
    <w:rsid w:val="00E94307"/>
    <w:rsid w:val="00E94722"/>
    <w:rsid w:val="00E95B42"/>
    <w:rsid w:val="00E97287"/>
    <w:rsid w:val="00EA05E1"/>
    <w:rsid w:val="00EA0C34"/>
    <w:rsid w:val="00EA2AFC"/>
    <w:rsid w:val="00EA2BC7"/>
    <w:rsid w:val="00EA30E0"/>
    <w:rsid w:val="00EA3750"/>
    <w:rsid w:val="00EA528C"/>
    <w:rsid w:val="00EA61D0"/>
    <w:rsid w:val="00EA6853"/>
    <w:rsid w:val="00EA735E"/>
    <w:rsid w:val="00EA7CC8"/>
    <w:rsid w:val="00EB0D76"/>
    <w:rsid w:val="00EB1A66"/>
    <w:rsid w:val="00EB1D79"/>
    <w:rsid w:val="00EB1F8B"/>
    <w:rsid w:val="00EB2461"/>
    <w:rsid w:val="00EB25A0"/>
    <w:rsid w:val="00EB268D"/>
    <w:rsid w:val="00EB2754"/>
    <w:rsid w:val="00EB2F82"/>
    <w:rsid w:val="00EB3E7F"/>
    <w:rsid w:val="00EB532B"/>
    <w:rsid w:val="00EB5A0D"/>
    <w:rsid w:val="00EC1820"/>
    <w:rsid w:val="00EC393C"/>
    <w:rsid w:val="00EC3E3A"/>
    <w:rsid w:val="00EC3EE4"/>
    <w:rsid w:val="00EC4FBF"/>
    <w:rsid w:val="00EC5C20"/>
    <w:rsid w:val="00EC61BF"/>
    <w:rsid w:val="00EC6245"/>
    <w:rsid w:val="00EC771C"/>
    <w:rsid w:val="00ED2173"/>
    <w:rsid w:val="00ED2908"/>
    <w:rsid w:val="00ED442E"/>
    <w:rsid w:val="00ED4945"/>
    <w:rsid w:val="00ED4AA8"/>
    <w:rsid w:val="00ED4E37"/>
    <w:rsid w:val="00ED5A2B"/>
    <w:rsid w:val="00ED629D"/>
    <w:rsid w:val="00ED6446"/>
    <w:rsid w:val="00ED6573"/>
    <w:rsid w:val="00ED758B"/>
    <w:rsid w:val="00ED7EA6"/>
    <w:rsid w:val="00EE11A2"/>
    <w:rsid w:val="00EE1216"/>
    <w:rsid w:val="00EE2973"/>
    <w:rsid w:val="00EE2E3E"/>
    <w:rsid w:val="00EE3658"/>
    <w:rsid w:val="00EE41DE"/>
    <w:rsid w:val="00EE6D4A"/>
    <w:rsid w:val="00EE745A"/>
    <w:rsid w:val="00EF062C"/>
    <w:rsid w:val="00EF0E39"/>
    <w:rsid w:val="00EF1009"/>
    <w:rsid w:val="00EF149E"/>
    <w:rsid w:val="00EF1FCE"/>
    <w:rsid w:val="00EF3360"/>
    <w:rsid w:val="00EF4FC3"/>
    <w:rsid w:val="00EF53A3"/>
    <w:rsid w:val="00EF66C5"/>
    <w:rsid w:val="00EF6D60"/>
    <w:rsid w:val="00EF6DA6"/>
    <w:rsid w:val="00F00354"/>
    <w:rsid w:val="00F017C5"/>
    <w:rsid w:val="00F01A7B"/>
    <w:rsid w:val="00F02C48"/>
    <w:rsid w:val="00F046F5"/>
    <w:rsid w:val="00F05686"/>
    <w:rsid w:val="00F065A2"/>
    <w:rsid w:val="00F06865"/>
    <w:rsid w:val="00F06FE6"/>
    <w:rsid w:val="00F07738"/>
    <w:rsid w:val="00F12E84"/>
    <w:rsid w:val="00F141E8"/>
    <w:rsid w:val="00F148C5"/>
    <w:rsid w:val="00F15BCB"/>
    <w:rsid w:val="00F15E8F"/>
    <w:rsid w:val="00F16254"/>
    <w:rsid w:val="00F16583"/>
    <w:rsid w:val="00F20BAE"/>
    <w:rsid w:val="00F21D18"/>
    <w:rsid w:val="00F23093"/>
    <w:rsid w:val="00F24568"/>
    <w:rsid w:val="00F2458F"/>
    <w:rsid w:val="00F24816"/>
    <w:rsid w:val="00F25241"/>
    <w:rsid w:val="00F25C11"/>
    <w:rsid w:val="00F2623F"/>
    <w:rsid w:val="00F26B5A"/>
    <w:rsid w:val="00F2704F"/>
    <w:rsid w:val="00F279D3"/>
    <w:rsid w:val="00F305EC"/>
    <w:rsid w:val="00F327EF"/>
    <w:rsid w:val="00F334CB"/>
    <w:rsid w:val="00F361B0"/>
    <w:rsid w:val="00F36286"/>
    <w:rsid w:val="00F37597"/>
    <w:rsid w:val="00F3760E"/>
    <w:rsid w:val="00F4077D"/>
    <w:rsid w:val="00F419DA"/>
    <w:rsid w:val="00F42B83"/>
    <w:rsid w:val="00F43725"/>
    <w:rsid w:val="00F444CF"/>
    <w:rsid w:val="00F44C4B"/>
    <w:rsid w:val="00F45ACF"/>
    <w:rsid w:val="00F45DBC"/>
    <w:rsid w:val="00F46229"/>
    <w:rsid w:val="00F4776A"/>
    <w:rsid w:val="00F506F9"/>
    <w:rsid w:val="00F51AD0"/>
    <w:rsid w:val="00F52DF5"/>
    <w:rsid w:val="00F53B67"/>
    <w:rsid w:val="00F569BB"/>
    <w:rsid w:val="00F56A2E"/>
    <w:rsid w:val="00F56E6B"/>
    <w:rsid w:val="00F57CB2"/>
    <w:rsid w:val="00F61160"/>
    <w:rsid w:val="00F61982"/>
    <w:rsid w:val="00F619EC"/>
    <w:rsid w:val="00F63FBD"/>
    <w:rsid w:val="00F64136"/>
    <w:rsid w:val="00F64323"/>
    <w:rsid w:val="00F643EB"/>
    <w:rsid w:val="00F64AB3"/>
    <w:rsid w:val="00F658D0"/>
    <w:rsid w:val="00F6759B"/>
    <w:rsid w:val="00F675DB"/>
    <w:rsid w:val="00F70A06"/>
    <w:rsid w:val="00F723FE"/>
    <w:rsid w:val="00F73418"/>
    <w:rsid w:val="00F7358C"/>
    <w:rsid w:val="00F73C6B"/>
    <w:rsid w:val="00F73CA2"/>
    <w:rsid w:val="00F73DA7"/>
    <w:rsid w:val="00F73F18"/>
    <w:rsid w:val="00F74358"/>
    <w:rsid w:val="00F7458E"/>
    <w:rsid w:val="00F74C65"/>
    <w:rsid w:val="00F750FF"/>
    <w:rsid w:val="00F758EA"/>
    <w:rsid w:val="00F75F13"/>
    <w:rsid w:val="00F76737"/>
    <w:rsid w:val="00F76F79"/>
    <w:rsid w:val="00F76FF5"/>
    <w:rsid w:val="00F778C3"/>
    <w:rsid w:val="00F80BBE"/>
    <w:rsid w:val="00F8178B"/>
    <w:rsid w:val="00F81A43"/>
    <w:rsid w:val="00F81FF0"/>
    <w:rsid w:val="00F82D6A"/>
    <w:rsid w:val="00F82E84"/>
    <w:rsid w:val="00F8504D"/>
    <w:rsid w:val="00F85163"/>
    <w:rsid w:val="00F8520A"/>
    <w:rsid w:val="00F8523B"/>
    <w:rsid w:val="00F8630E"/>
    <w:rsid w:val="00F87933"/>
    <w:rsid w:val="00F909D8"/>
    <w:rsid w:val="00F91CC3"/>
    <w:rsid w:val="00F9207A"/>
    <w:rsid w:val="00F92ADC"/>
    <w:rsid w:val="00F92B3E"/>
    <w:rsid w:val="00F9314F"/>
    <w:rsid w:val="00F933D7"/>
    <w:rsid w:val="00F93562"/>
    <w:rsid w:val="00F9540A"/>
    <w:rsid w:val="00F954B0"/>
    <w:rsid w:val="00F9556C"/>
    <w:rsid w:val="00F95CA0"/>
    <w:rsid w:val="00F9620C"/>
    <w:rsid w:val="00F972D3"/>
    <w:rsid w:val="00F97F81"/>
    <w:rsid w:val="00FA135A"/>
    <w:rsid w:val="00FA1756"/>
    <w:rsid w:val="00FA2AB1"/>
    <w:rsid w:val="00FA3B53"/>
    <w:rsid w:val="00FA3E0F"/>
    <w:rsid w:val="00FA476D"/>
    <w:rsid w:val="00FA4B13"/>
    <w:rsid w:val="00FA6A25"/>
    <w:rsid w:val="00FA7CEA"/>
    <w:rsid w:val="00FB116F"/>
    <w:rsid w:val="00FB18B6"/>
    <w:rsid w:val="00FB28DB"/>
    <w:rsid w:val="00FB3674"/>
    <w:rsid w:val="00FB41A5"/>
    <w:rsid w:val="00FB457D"/>
    <w:rsid w:val="00FB4B1E"/>
    <w:rsid w:val="00FB59B1"/>
    <w:rsid w:val="00FB6175"/>
    <w:rsid w:val="00FB67A5"/>
    <w:rsid w:val="00FC362B"/>
    <w:rsid w:val="00FC3A40"/>
    <w:rsid w:val="00FC3D34"/>
    <w:rsid w:val="00FC3DC4"/>
    <w:rsid w:val="00FC5020"/>
    <w:rsid w:val="00FC5D31"/>
    <w:rsid w:val="00FC7467"/>
    <w:rsid w:val="00FD035E"/>
    <w:rsid w:val="00FD10A6"/>
    <w:rsid w:val="00FD2256"/>
    <w:rsid w:val="00FD3E51"/>
    <w:rsid w:val="00FD3EC4"/>
    <w:rsid w:val="00FD4762"/>
    <w:rsid w:val="00FD4B65"/>
    <w:rsid w:val="00FD5DED"/>
    <w:rsid w:val="00FD5F4D"/>
    <w:rsid w:val="00FD6644"/>
    <w:rsid w:val="00FD70C2"/>
    <w:rsid w:val="00FE024E"/>
    <w:rsid w:val="00FE05F8"/>
    <w:rsid w:val="00FE1343"/>
    <w:rsid w:val="00FE4581"/>
    <w:rsid w:val="00FE5E2D"/>
    <w:rsid w:val="00FE6ABF"/>
    <w:rsid w:val="00FE6F4C"/>
    <w:rsid w:val="00FE7C7D"/>
    <w:rsid w:val="00FF042A"/>
    <w:rsid w:val="00FF0C8C"/>
    <w:rsid w:val="00FF0F38"/>
    <w:rsid w:val="00FF237E"/>
    <w:rsid w:val="00FF23A4"/>
    <w:rsid w:val="00FF24E8"/>
    <w:rsid w:val="00FF4CC9"/>
    <w:rsid w:val="00FF53AD"/>
    <w:rsid w:val="00FF7652"/>
    <w:rsid w:val="00FF7B55"/>
    <w:rsid w:val="00FF7F6B"/>
    <w:rsid w:val="05D66872"/>
    <w:rsid w:val="06BC1724"/>
    <w:rsid w:val="087560D4"/>
    <w:rsid w:val="0897532D"/>
    <w:rsid w:val="093FBDF5"/>
    <w:rsid w:val="095BA926"/>
    <w:rsid w:val="09D5D953"/>
    <w:rsid w:val="0A5BAA6B"/>
    <w:rsid w:val="0C92E694"/>
    <w:rsid w:val="0EE5BD62"/>
    <w:rsid w:val="0F7AE585"/>
    <w:rsid w:val="11125CE6"/>
    <w:rsid w:val="1195D0F5"/>
    <w:rsid w:val="11D9081D"/>
    <w:rsid w:val="12C95D8E"/>
    <w:rsid w:val="143D7EA6"/>
    <w:rsid w:val="161178F1"/>
    <w:rsid w:val="1A94DE4D"/>
    <w:rsid w:val="1C6ACDFC"/>
    <w:rsid w:val="1E8E6ECD"/>
    <w:rsid w:val="22DF25C9"/>
    <w:rsid w:val="24C24AC7"/>
    <w:rsid w:val="24C8082E"/>
    <w:rsid w:val="25E4D4FA"/>
    <w:rsid w:val="266B32E4"/>
    <w:rsid w:val="281F42E0"/>
    <w:rsid w:val="28F3DA2E"/>
    <w:rsid w:val="2BC045A6"/>
    <w:rsid w:val="2BF83A17"/>
    <w:rsid w:val="2C2760CF"/>
    <w:rsid w:val="2CA6BC77"/>
    <w:rsid w:val="2D757DB2"/>
    <w:rsid w:val="2DF16F12"/>
    <w:rsid w:val="2EFB52CD"/>
    <w:rsid w:val="2EFD9C8A"/>
    <w:rsid w:val="30C63A99"/>
    <w:rsid w:val="31529EC5"/>
    <w:rsid w:val="344AF937"/>
    <w:rsid w:val="356201D6"/>
    <w:rsid w:val="37CAF022"/>
    <w:rsid w:val="3867A2BD"/>
    <w:rsid w:val="38DAF3B4"/>
    <w:rsid w:val="39B5E7DE"/>
    <w:rsid w:val="3B004DB8"/>
    <w:rsid w:val="3F6E3D7E"/>
    <w:rsid w:val="41859A5B"/>
    <w:rsid w:val="41BB5281"/>
    <w:rsid w:val="41DF311D"/>
    <w:rsid w:val="4434E47D"/>
    <w:rsid w:val="460CF7F5"/>
    <w:rsid w:val="468B9E20"/>
    <w:rsid w:val="4717A9B8"/>
    <w:rsid w:val="47B2A6B8"/>
    <w:rsid w:val="47BC74B5"/>
    <w:rsid w:val="4B36CE0E"/>
    <w:rsid w:val="4B490C6A"/>
    <w:rsid w:val="4BD8E651"/>
    <w:rsid w:val="4E617196"/>
    <w:rsid w:val="52AD72A2"/>
    <w:rsid w:val="564DC230"/>
    <w:rsid w:val="5B24EEEF"/>
    <w:rsid w:val="5D4CD1C4"/>
    <w:rsid w:val="5D5A5CC8"/>
    <w:rsid w:val="5DD6F86B"/>
    <w:rsid w:val="5DEF46B6"/>
    <w:rsid w:val="5EAE3DCE"/>
    <w:rsid w:val="5F20275C"/>
    <w:rsid w:val="5F514497"/>
    <w:rsid w:val="60345898"/>
    <w:rsid w:val="612B2306"/>
    <w:rsid w:val="622A5EF5"/>
    <w:rsid w:val="62ADC80E"/>
    <w:rsid w:val="648FC358"/>
    <w:rsid w:val="650083CF"/>
    <w:rsid w:val="6B3688CD"/>
    <w:rsid w:val="6E8E3DB8"/>
    <w:rsid w:val="7275D96E"/>
    <w:rsid w:val="74A4C3A8"/>
    <w:rsid w:val="74ADCD26"/>
    <w:rsid w:val="76EA2139"/>
    <w:rsid w:val="7798BD9F"/>
    <w:rsid w:val="78E45859"/>
    <w:rsid w:val="7DD95C5F"/>
    <w:rsid w:val="7EB11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4D1E0"/>
  <w15:chartTrackingRefBased/>
  <w15:docId w15:val="{00E53B74-8F0B-4AE2-8AF2-33625BB9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15"/>
    <w:rPr>
      <w:rFonts w:ascii="Calibri" w:hAnsi="Calibri"/>
    </w:rPr>
  </w:style>
  <w:style w:type="paragraph" w:styleId="Heading1">
    <w:name w:val="heading 1"/>
    <w:basedOn w:val="Normal"/>
    <w:next w:val="Normal"/>
    <w:link w:val="Heading1Char"/>
    <w:uiPriority w:val="9"/>
    <w:qFormat/>
    <w:rsid w:val="00B12EEE"/>
    <w:pPr>
      <w:keepNext/>
      <w:keepLines/>
      <w:numPr>
        <w:numId w:val="4"/>
      </w:numPr>
      <w:spacing w:after="160" w:line="22" w:lineRule="atLeast"/>
      <w:outlineLvl w:val="0"/>
    </w:pPr>
    <w:rPr>
      <w:rFonts w:eastAsiaTheme="majorEastAsia" w:cstheme="majorBidi"/>
      <w:b/>
      <w:color w:val="0A4047"/>
      <w:sz w:val="40"/>
      <w:szCs w:val="32"/>
    </w:rPr>
  </w:style>
  <w:style w:type="paragraph" w:styleId="Heading2">
    <w:name w:val="heading 2"/>
    <w:basedOn w:val="Normal"/>
    <w:next w:val="Normal"/>
    <w:link w:val="Heading2Char"/>
    <w:uiPriority w:val="9"/>
    <w:unhideWhenUsed/>
    <w:qFormat/>
    <w:rsid w:val="00DF4A14"/>
    <w:pPr>
      <w:keepNext/>
      <w:keepLines/>
      <w:numPr>
        <w:numId w:val="10"/>
      </w:numPr>
      <w:spacing w:before="360" w:after="240"/>
      <w:ind w:left="357" w:hanging="357"/>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F4A14"/>
    <w:pPr>
      <w:keepNext/>
      <w:keepLines/>
      <w:spacing w:before="240" w:after="240" w:line="22" w:lineRule="atLeast"/>
      <w:outlineLvl w:val="2"/>
    </w:pPr>
    <w:rPr>
      <w:rFonts w:eastAsiaTheme="majorEastAsia" w:cstheme="majorBidi"/>
      <w:b/>
      <w:color w:val="0A4047"/>
      <w:sz w:val="28"/>
      <w:szCs w:val="24"/>
    </w:rPr>
  </w:style>
  <w:style w:type="paragraph" w:styleId="Heading4">
    <w:name w:val="heading 4"/>
    <w:basedOn w:val="Normal"/>
    <w:next w:val="Normal"/>
    <w:link w:val="Heading4Char"/>
    <w:uiPriority w:val="9"/>
    <w:unhideWhenUsed/>
    <w:qFormat/>
    <w:rsid w:val="00164592"/>
    <w:pPr>
      <w:keepNext/>
      <w:keepLines/>
      <w:spacing w:before="240" w:after="160" w:line="22" w:lineRule="atLeast"/>
      <w:outlineLvl w:val="3"/>
    </w:pPr>
    <w:rPr>
      <w:rFonts w:eastAsiaTheme="majorEastAsia" w:cstheme="majorBidi"/>
      <w:b/>
      <w:i/>
      <w:iCs/>
      <w:sz w:val="24"/>
    </w:rPr>
  </w:style>
  <w:style w:type="paragraph" w:styleId="Heading5">
    <w:name w:val="heading 5"/>
    <w:basedOn w:val="Normal"/>
    <w:next w:val="Normal"/>
    <w:link w:val="Heading5Char"/>
    <w:uiPriority w:val="9"/>
    <w:semiHidden/>
    <w:unhideWhenUsed/>
    <w:qFormat/>
    <w:rsid w:val="00C0354B"/>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0354B"/>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54B"/>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0354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354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436"/>
    <w:pPr>
      <w:tabs>
        <w:tab w:val="center" w:pos="4513"/>
        <w:tab w:val="right" w:pos="9026"/>
      </w:tabs>
    </w:pPr>
  </w:style>
  <w:style w:type="character" w:customStyle="1" w:styleId="HeaderChar">
    <w:name w:val="Header Char"/>
    <w:basedOn w:val="DefaultParagraphFont"/>
    <w:link w:val="Header"/>
    <w:uiPriority w:val="99"/>
    <w:rsid w:val="005E1436"/>
  </w:style>
  <w:style w:type="paragraph" w:styleId="Footer">
    <w:name w:val="footer"/>
    <w:basedOn w:val="Normal"/>
    <w:link w:val="FooterChar"/>
    <w:uiPriority w:val="99"/>
    <w:unhideWhenUsed/>
    <w:rsid w:val="005E1436"/>
    <w:pPr>
      <w:tabs>
        <w:tab w:val="center" w:pos="4513"/>
        <w:tab w:val="right" w:pos="9026"/>
      </w:tabs>
    </w:pPr>
  </w:style>
  <w:style w:type="character" w:customStyle="1" w:styleId="FooterChar">
    <w:name w:val="Footer Char"/>
    <w:basedOn w:val="DefaultParagraphFont"/>
    <w:link w:val="Footer"/>
    <w:uiPriority w:val="99"/>
    <w:rsid w:val="005E1436"/>
  </w:style>
  <w:style w:type="paragraph" w:styleId="ListParagraph">
    <w:name w:val="List Paragraph"/>
    <w:basedOn w:val="Normal"/>
    <w:link w:val="ListParagraphChar"/>
    <w:uiPriority w:val="34"/>
    <w:qFormat/>
    <w:rsid w:val="005E54EC"/>
    <w:pPr>
      <w:numPr>
        <w:numId w:val="6"/>
      </w:numPr>
      <w:spacing w:before="60" w:after="60"/>
      <w:ind w:left="567" w:hanging="283"/>
    </w:pPr>
    <w:rPr>
      <w:rFonts w:asciiTheme="minorHAnsi" w:hAnsiTheme="minorHAnsi" w:cstheme="minorHAnsi"/>
    </w:rPr>
  </w:style>
  <w:style w:type="paragraph" w:styleId="BodyText">
    <w:name w:val="Body Text"/>
    <w:basedOn w:val="Normal"/>
    <w:link w:val="BodyTextChar"/>
    <w:uiPriority w:val="99"/>
    <w:unhideWhenUsed/>
    <w:rsid w:val="00DF4A14"/>
    <w:pPr>
      <w:spacing w:before="160" w:after="160"/>
    </w:pPr>
  </w:style>
  <w:style w:type="character" w:customStyle="1" w:styleId="BodyTextChar">
    <w:name w:val="Body Text Char"/>
    <w:basedOn w:val="DefaultParagraphFont"/>
    <w:link w:val="BodyText"/>
    <w:uiPriority w:val="99"/>
    <w:rsid w:val="00DF4A14"/>
    <w:rPr>
      <w:rFonts w:ascii="Calibri" w:hAnsi="Calibri"/>
    </w:rPr>
  </w:style>
  <w:style w:type="paragraph" w:styleId="CommentText">
    <w:name w:val="annotation text"/>
    <w:basedOn w:val="Normal"/>
    <w:link w:val="CommentTextChar"/>
    <w:uiPriority w:val="99"/>
    <w:unhideWhenUsed/>
    <w:rsid w:val="00BD442B"/>
    <w:rPr>
      <w:sz w:val="20"/>
      <w:szCs w:val="20"/>
    </w:rPr>
  </w:style>
  <w:style w:type="character" w:customStyle="1" w:styleId="CommentTextChar">
    <w:name w:val="Comment Text Char"/>
    <w:basedOn w:val="DefaultParagraphFont"/>
    <w:link w:val="CommentText"/>
    <w:uiPriority w:val="99"/>
    <w:rsid w:val="00BD442B"/>
    <w:rPr>
      <w:sz w:val="20"/>
      <w:szCs w:val="20"/>
    </w:rPr>
  </w:style>
  <w:style w:type="character" w:styleId="CommentReference">
    <w:name w:val="annotation reference"/>
    <w:uiPriority w:val="99"/>
    <w:semiHidden/>
    <w:unhideWhenUsed/>
    <w:rsid w:val="00BD442B"/>
    <w:rPr>
      <w:sz w:val="16"/>
      <w:szCs w:val="16"/>
    </w:rPr>
  </w:style>
  <w:style w:type="character" w:styleId="Mention">
    <w:name w:val="Mention"/>
    <w:basedOn w:val="DefaultParagraphFont"/>
    <w:uiPriority w:val="99"/>
    <w:unhideWhenUsed/>
    <w:rsid w:val="00B63D4F"/>
    <w:rPr>
      <w:color w:val="2B579A"/>
      <w:shd w:val="clear" w:color="auto" w:fill="E1DFDD"/>
    </w:rPr>
  </w:style>
  <w:style w:type="character" w:customStyle="1" w:styleId="Heading1Char">
    <w:name w:val="Heading 1 Char"/>
    <w:basedOn w:val="DefaultParagraphFont"/>
    <w:link w:val="Heading1"/>
    <w:uiPriority w:val="9"/>
    <w:rsid w:val="00B12EEE"/>
    <w:rPr>
      <w:rFonts w:ascii="Calibri" w:eastAsiaTheme="majorEastAsia" w:hAnsi="Calibri" w:cstheme="majorBidi"/>
      <w:b/>
      <w:color w:val="0A4047"/>
      <w:sz w:val="40"/>
      <w:szCs w:val="32"/>
    </w:rPr>
  </w:style>
  <w:style w:type="character" w:customStyle="1" w:styleId="Heading2Char">
    <w:name w:val="Heading 2 Char"/>
    <w:basedOn w:val="DefaultParagraphFont"/>
    <w:link w:val="Heading2"/>
    <w:uiPriority w:val="9"/>
    <w:rsid w:val="00DF4A14"/>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DF4A14"/>
    <w:rPr>
      <w:rFonts w:ascii="Calibri" w:eastAsiaTheme="majorEastAsia" w:hAnsi="Calibri" w:cstheme="majorBidi"/>
      <w:b/>
      <w:color w:val="0A4047"/>
      <w:sz w:val="28"/>
      <w:szCs w:val="24"/>
    </w:rPr>
  </w:style>
  <w:style w:type="character" w:customStyle="1" w:styleId="Heading4Char">
    <w:name w:val="Heading 4 Char"/>
    <w:basedOn w:val="DefaultParagraphFont"/>
    <w:link w:val="Heading4"/>
    <w:uiPriority w:val="9"/>
    <w:rsid w:val="00164592"/>
    <w:rPr>
      <w:rFonts w:ascii="Calibri" w:eastAsiaTheme="majorEastAsia" w:hAnsi="Calibri" w:cstheme="majorBidi"/>
      <w:b/>
      <w:i/>
      <w:iCs/>
      <w:sz w:val="24"/>
    </w:rPr>
  </w:style>
  <w:style w:type="character" w:customStyle="1" w:styleId="Heading5Char">
    <w:name w:val="Heading 5 Char"/>
    <w:basedOn w:val="DefaultParagraphFont"/>
    <w:link w:val="Heading5"/>
    <w:uiPriority w:val="9"/>
    <w:semiHidden/>
    <w:rsid w:val="00C0354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0354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0354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035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354B"/>
    <w:rPr>
      <w:rFonts w:asciiTheme="majorHAnsi" w:eastAsiaTheme="majorEastAsia" w:hAnsiTheme="majorHAnsi" w:cstheme="majorBidi"/>
      <w:i/>
      <w:iCs/>
      <w:color w:val="272727" w:themeColor="text1" w:themeTint="D8"/>
      <w:sz w:val="21"/>
      <w:szCs w:val="21"/>
    </w:rPr>
  </w:style>
  <w:style w:type="paragraph" w:styleId="TOCHeading">
    <w:name w:val="TOC Heading"/>
    <w:basedOn w:val="TOC1"/>
    <w:next w:val="Normal"/>
    <w:uiPriority w:val="39"/>
    <w:unhideWhenUsed/>
    <w:qFormat/>
    <w:rsid w:val="007A1730"/>
    <w:rPr>
      <w:b/>
      <w:sz w:val="28"/>
      <w:szCs w:val="28"/>
    </w:rPr>
  </w:style>
  <w:style w:type="paragraph" w:styleId="TOC1">
    <w:name w:val="toc 1"/>
    <w:basedOn w:val="Normal"/>
    <w:next w:val="Normal"/>
    <w:autoRedefine/>
    <w:uiPriority w:val="39"/>
    <w:unhideWhenUsed/>
    <w:rsid w:val="00CD686C"/>
    <w:pPr>
      <w:tabs>
        <w:tab w:val="left" w:pos="440"/>
        <w:tab w:val="right" w:leader="dot" w:pos="9060"/>
      </w:tabs>
      <w:spacing w:after="100"/>
      <w:ind w:left="142"/>
    </w:pPr>
    <w:rPr>
      <w:rFonts w:cs="Arial"/>
      <w:noProof/>
      <w:color w:val="0A4047"/>
    </w:rPr>
  </w:style>
  <w:style w:type="paragraph" w:styleId="TOC2">
    <w:name w:val="toc 2"/>
    <w:basedOn w:val="Normal"/>
    <w:next w:val="Normal"/>
    <w:autoRedefine/>
    <w:uiPriority w:val="39"/>
    <w:unhideWhenUsed/>
    <w:rsid w:val="000A1083"/>
    <w:pPr>
      <w:tabs>
        <w:tab w:val="left" w:pos="660"/>
        <w:tab w:val="right" w:leader="dot" w:pos="9060"/>
      </w:tabs>
      <w:spacing w:after="100"/>
      <w:ind w:left="709" w:hanging="489"/>
    </w:pPr>
    <w:rPr>
      <w:rFonts w:asciiTheme="minorHAnsi" w:hAnsiTheme="minorHAnsi" w:cstheme="minorHAnsi"/>
      <w:b/>
      <w:noProof/>
      <w:color w:val="0A4047"/>
    </w:rPr>
  </w:style>
  <w:style w:type="character" w:styleId="Hyperlink">
    <w:name w:val="Hyperlink"/>
    <w:basedOn w:val="DefaultParagraphFont"/>
    <w:uiPriority w:val="99"/>
    <w:unhideWhenUsed/>
    <w:rsid w:val="00F91CC3"/>
    <w:rPr>
      <w:color w:val="0000FF" w:themeColor="hyperlink"/>
      <w:u w:val="single"/>
    </w:rPr>
  </w:style>
  <w:style w:type="paragraph" w:styleId="TOC3">
    <w:name w:val="toc 3"/>
    <w:basedOn w:val="Normal"/>
    <w:next w:val="Normal"/>
    <w:autoRedefine/>
    <w:uiPriority w:val="39"/>
    <w:unhideWhenUsed/>
    <w:rsid w:val="007A1730"/>
    <w:pPr>
      <w:tabs>
        <w:tab w:val="left" w:pos="851"/>
        <w:tab w:val="right" w:leader="dot" w:pos="8898"/>
      </w:tabs>
      <w:spacing w:after="100" w:line="259" w:lineRule="auto"/>
      <w:ind w:left="851" w:hanging="425"/>
    </w:pPr>
    <w:rPr>
      <w:rFonts w:asciiTheme="minorHAnsi" w:eastAsiaTheme="minorEastAsia" w:hAnsiTheme="minorHAnsi"/>
      <w:noProof/>
      <w:lang w:val="en-US"/>
    </w:rPr>
  </w:style>
  <w:style w:type="paragraph" w:customStyle="1" w:styleId="addressdetails">
    <w:name w:val="address details"/>
    <w:basedOn w:val="Normal"/>
    <w:qFormat/>
    <w:rsid w:val="00FC3A40"/>
    <w:pPr>
      <w:autoSpaceDE w:val="0"/>
      <w:autoSpaceDN w:val="0"/>
      <w:adjustRightInd w:val="0"/>
      <w:spacing w:line="240" w:lineRule="exact"/>
    </w:pPr>
    <w:rPr>
      <w:rFonts w:ascii="Arial" w:eastAsia="Calibri" w:hAnsi="Arial" w:cs="Calibri"/>
      <w:szCs w:val="20"/>
    </w:rPr>
  </w:style>
  <w:style w:type="character" w:styleId="UnresolvedMention">
    <w:name w:val="Unresolved Mention"/>
    <w:basedOn w:val="DefaultParagraphFont"/>
    <w:uiPriority w:val="99"/>
    <w:semiHidden/>
    <w:unhideWhenUsed/>
    <w:rsid w:val="00A5496F"/>
    <w:rPr>
      <w:color w:val="605E5C"/>
      <w:shd w:val="clear" w:color="auto" w:fill="E1DFDD"/>
    </w:rPr>
  </w:style>
  <w:style w:type="paragraph" w:styleId="Revision">
    <w:name w:val="Revision"/>
    <w:hidden/>
    <w:uiPriority w:val="99"/>
    <w:semiHidden/>
    <w:rsid w:val="003E052C"/>
  </w:style>
  <w:style w:type="paragraph" w:styleId="CommentSubject">
    <w:name w:val="annotation subject"/>
    <w:basedOn w:val="CommentText"/>
    <w:next w:val="CommentText"/>
    <w:link w:val="CommentSubjectChar"/>
    <w:uiPriority w:val="99"/>
    <w:semiHidden/>
    <w:unhideWhenUsed/>
    <w:rsid w:val="005E7D1A"/>
    <w:rPr>
      <w:b/>
      <w:bCs/>
    </w:rPr>
  </w:style>
  <w:style w:type="character" w:customStyle="1" w:styleId="CommentSubjectChar">
    <w:name w:val="Comment Subject Char"/>
    <w:basedOn w:val="CommentTextChar"/>
    <w:link w:val="CommentSubject"/>
    <w:uiPriority w:val="99"/>
    <w:semiHidden/>
    <w:rsid w:val="005E7D1A"/>
    <w:rPr>
      <w:b/>
      <w:bCs/>
      <w:sz w:val="20"/>
      <w:szCs w:val="20"/>
    </w:rPr>
  </w:style>
  <w:style w:type="table" w:styleId="TableGrid">
    <w:name w:val="Table Grid"/>
    <w:basedOn w:val="TableNormal"/>
    <w:uiPriority w:val="59"/>
    <w:rsid w:val="005F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B5110"/>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4B5110"/>
  </w:style>
  <w:style w:type="character" w:customStyle="1" w:styleId="eop">
    <w:name w:val="eop"/>
    <w:basedOn w:val="DefaultParagraphFont"/>
    <w:rsid w:val="004B5110"/>
  </w:style>
  <w:style w:type="paragraph" w:styleId="FootnoteText">
    <w:name w:val="footnote text"/>
    <w:basedOn w:val="Normal"/>
    <w:link w:val="FootnoteTextChar"/>
    <w:uiPriority w:val="99"/>
    <w:semiHidden/>
    <w:unhideWhenUsed/>
    <w:rsid w:val="00DF4A14"/>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DF4A14"/>
    <w:rPr>
      <w:rFonts w:ascii="Arial" w:hAnsi="Arial" w:cstheme="minorBidi"/>
      <w:sz w:val="20"/>
      <w:szCs w:val="20"/>
    </w:rPr>
  </w:style>
  <w:style w:type="character" w:styleId="FootnoteReference">
    <w:name w:val="footnote reference"/>
    <w:basedOn w:val="DefaultParagraphFont"/>
    <w:uiPriority w:val="99"/>
    <w:semiHidden/>
    <w:unhideWhenUsed/>
    <w:rsid w:val="002244EF"/>
    <w:rPr>
      <w:vertAlign w:val="superscript"/>
    </w:rPr>
  </w:style>
  <w:style w:type="paragraph" w:customStyle="1" w:styleId="Footnote">
    <w:name w:val="Footnote"/>
    <w:basedOn w:val="FootnoteText"/>
    <w:qFormat/>
    <w:rsid w:val="00DF4A14"/>
    <w:pPr>
      <w:spacing w:after="60"/>
      <w:ind w:left="284" w:hanging="284"/>
    </w:pPr>
    <w:rPr>
      <w:rFonts w:ascii="Calibri" w:hAnsi="Calibri"/>
      <w:sz w:val="18"/>
    </w:rPr>
  </w:style>
  <w:style w:type="character" w:styleId="PlaceholderText">
    <w:name w:val="Placeholder Text"/>
    <w:basedOn w:val="DefaultParagraphFont"/>
    <w:uiPriority w:val="99"/>
    <w:semiHidden/>
    <w:rsid w:val="000C5C56"/>
    <w:rPr>
      <w:color w:val="808080"/>
    </w:rPr>
  </w:style>
  <w:style w:type="paragraph" w:styleId="Title">
    <w:name w:val="Title"/>
    <w:basedOn w:val="Normal"/>
    <w:next w:val="Normal"/>
    <w:link w:val="TitleChar"/>
    <w:uiPriority w:val="10"/>
    <w:qFormat/>
    <w:rsid w:val="00310063"/>
    <w:pPr>
      <w:spacing w:before="120"/>
      <w:contextualSpacing/>
    </w:pPr>
    <w:rPr>
      <w:rFonts w:eastAsiaTheme="majorEastAsia" w:cstheme="majorBidi"/>
      <w:b/>
      <w:color w:val="0A4047"/>
      <w:kern w:val="28"/>
      <w:sz w:val="72"/>
      <w:szCs w:val="56"/>
    </w:rPr>
  </w:style>
  <w:style w:type="character" w:customStyle="1" w:styleId="TitleChar">
    <w:name w:val="Title Char"/>
    <w:basedOn w:val="DefaultParagraphFont"/>
    <w:link w:val="Title"/>
    <w:uiPriority w:val="10"/>
    <w:rsid w:val="00310063"/>
    <w:rPr>
      <w:rFonts w:ascii="Calibri" w:eastAsiaTheme="majorEastAsia" w:hAnsi="Calibri" w:cstheme="majorBidi"/>
      <w:b/>
      <w:color w:val="0A4047"/>
      <w:kern w:val="28"/>
      <w:sz w:val="72"/>
      <w:szCs w:val="56"/>
    </w:rPr>
  </w:style>
  <w:style w:type="paragraph" w:styleId="BodyTextFirstIndent">
    <w:name w:val="Body Text First Indent"/>
    <w:basedOn w:val="BodyText"/>
    <w:link w:val="BodyTextFirstIndentChar"/>
    <w:uiPriority w:val="99"/>
    <w:unhideWhenUsed/>
    <w:rsid w:val="00A06FEC"/>
    <w:pPr>
      <w:spacing w:after="0"/>
      <w:ind w:firstLine="360"/>
    </w:pPr>
  </w:style>
  <w:style w:type="character" w:customStyle="1" w:styleId="BodyTextFirstIndentChar">
    <w:name w:val="Body Text First Indent Char"/>
    <w:basedOn w:val="BodyTextChar"/>
    <w:link w:val="BodyTextFirstIndent"/>
    <w:uiPriority w:val="99"/>
    <w:rsid w:val="00A06FEC"/>
    <w:rPr>
      <w:rFonts w:ascii="Calibri" w:hAnsi="Calibri"/>
    </w:rPr>
  </w:style>
  <w:style w:type="paragraph" w:styleId="NoSpacing">
    <w:name w:val="No Spacing"/>
    <w:uiPriority w:val="1"/>
    <w:qFormat/>
    <w:rsid w:val="00A06FEC"/>
    <w:rPr>
      <w:rFonts w:asciiTheme="minorHAnsi" w:hAnsiTheme="minorHAnsi" w:cstheme="minorBidi"/>
    </w:rPr>
  </w:style>
  <w:style w:type="table" w:styleId="PlainTable1">
    <w:name w:val="Plain Table 1"/>
    <w:basedOn w:val="TableNormal"/>
    <w:uiPriority w:val="41"/>
    <w:rsid w:val="00A06F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locked/>
    <w:rsid w:val="005E54EC"/>
    <w:rPr>
      <w:rFonts w:asciiTheme="minorHAnsi" w:hAnsiTheme="minorHAnsi" w:cstheme="minorHAnsi"/>
    </w:rPr>
  </w:style>
  <w:style w:type="paragraph" w:customStyle="1" w:styleId="Extractlist">
    <w:name w:val="Extract list"/>
    <w:basedOn w:val="ListParagraph"/>
    <w:qFormat/>
    <w:rsid w:val="00A06FEC"/>
    <w:pPr>
      <w:numPr>
        <w:numId w:val="11"/>
      </w:numPr>
    </w:pPr>
    <w:rPr>
      <w:rFonts w:ascii="Calibri" w:eastAsia="Times New Roman" w:hAnsi="Calibri" w:cs="Arial"/>
      <w:szCs w:val="19"/>
      <w:lang w:eastAsia="en-AU"/>
    </w:rPr>
  </w:style>
  <w:style w:type="paragraph" w:customStyle="1" w:styleId="footertext">
    <w:name w:val="footer text"/>
    <w:basedOn w:val="Normal"/>
    <w:uiPriority w:val="99"/>
    <w:rsid w:val="00A06FEC"/>
    <w:pPr>
      <w:suppressAutoHyphens/>
      <w:autoSpaceDE w:val="0"/>
      <w:autoSpaceDN w:val="0"/>
      <w:adjustRightInd w:val="0"/>
      <w:spacing w:line="200" w:lineRule="atLeast"/>
      <w:textAlignment w:val="center"/>
    </w:pPr>
    <w:rPr>
      <w:rFonts w:ascii="Source Sans Pro" w:hAnsi="Source Sans Pro" w:cs="Source Sans Pro"/>
      <w:color w:val="0A4047"/>
      <w:sz w:val="18"/>
      <w:szCs w:val="18"/>
      <w:lang w:val="en-GB"/>
    </w:rPr>
  </w:style>
  <w:style w:type="paragraph" w:customStyle="1" w:styleId="Notestyle">
    <w:name w:val="Note style"/>
    <w:basedOn w:val="Normal"/>
    <w:qFormat/>
    <w:rsid w:val="005E54EC"/>
    <w:pPr>
      <w:spacing w:before="120" w:after="120"/>
      <w:ind w:left="167" w:right="96"/>
    </w:pPr>
    <w:rPr>
      <w:rFonts w:eastAsia="Times New Roman"/>
      <w:bCs/>
      <w:iCs/>
      <w:noProof/>
      <w:color w:val="0A4047"/>
      <w:lang w:eastAsia="en-AU"/>
    </w:rPr>
  </w:style>
  <w:style w:type="paragraph" w:customStyle="1" w:styleId="tablelefttext">
    <w:name w:val="table left text"/>
    <w:basedOn w:val="Normal"/>
    <w:qFormat/>
    <w:rsid w:val="00A06FEC"/>
    <w:pPr>
      <w:spacing w:before="100" w:after="100" w:line="216" w:lineRule="auto"/>
    </w:pPr>
    <w:rPr>
      <w:rFonts w:eastAsia="Times New Roman" w:cs="Arial"/>
      <w:b/>
      <w:color w:val="0A4047"/>
      <w:lang w:eastAsia="en-AU"/>
    </w:rPr>
  </w:style>
  <w:style w:type="paragraph" w:customStyle="1" w:styleId="tablerightstyle">
    <w:name w:val="table right style"/>
    <w:basedOn w:val="BodyText"/>
    <w:qFormat/>
    <w:rsid w:val="00C66C0C"/>
    <w:pPr>
      <w:tabs>
        <w:tab w:val="left" w:pos="567"/>
        <w:tab w:val="left" w:pos="850"/>
        <w:tab w:val="left" w:pos="1134"/>
        <w:tab w:val="left" w:pos="1417"/>
        <w:tab w:val="left" w:pos="1701"/>
      </w:tabs>
      <w:suppressAutoHyphens/>
      <w:autoSpaceDE w:val="0"/>
      <w:autoSpaceDN w:val="0"/>
      <w:adjustRightInd w:val="0"/>
      <w:spacing w:before="60" w:after="120"/>
      <w:textAlignment w:val="center"/>
    </w:pPr>
    <w:rPr>
      <w:rFonts w:cs="Source Sans Pro"/>
      <w:color w:val="000000"/>
      <w:lang w:eastAsia="en-AU"/>
    </w:rPr>
  </w:style>
  <w:style w:type="paragraph" w:customStyle="1" w:styleId="tablerightbullets">
    <w:name w:val="table right bullets"/>
    <w:basedOn w:val="tablerightstyle"/>
    <w:qFormat/>
    <w:rsid w:val="00FA2AB1"/>
    <w:pPr>
      <w:numPr>
        <w:numId w:val="12"/>
      </w:numPr>
      <w:tabs>
        <w:tab w:val="clear" w:pos="567"/>
        <w:tab w:val="clear" w:pos="850"/>
        <w:tab w:val="clear" w:pos="1134"/>
      </w:tabs>
      <w:spacing w:after="60"/>
      <w:ind w:left="573" w:right="57" w:hanging="284"/>
    </w:pPr>
  </w:style>
  <w:style w:type="paragraph" w:customStyle="1" w:styleId="Tableheadingtext">
    <w:name w:val="Table heading text"/>
    <w:basedOn w:val="Normal"/>
    <w:qFormat/>
    <w:rsid w:val="00A06FEC"/>
    <w:pPr>
      <w:spacing w:before="120" w:after="120" w:line="270" w:lineRule="atLeast"/>
    </w:pPr>
    <w:rPr>
      <w:rFonts w:eastAsia="Times New Roman" w:cs="Calibri"/>
      <w:b/>
      <w:bCs/>
      <w:iCs/>
      <w:lang w:eastAsia="en-AU"/>
    </w:rPr>
  </w:style>
  <w:style w:type="character" w:customStyle="1" w:styleId="A1">
    <w:name w:val="A1"/>
    <w:uiPriority w:val="99"/>
    <w:rsid w:val="00FC7467"/>
    <w:rPr>
      <w:rFonts w:cs="Source Sans Pro"/>
      <w:color w:val="000000"/>
      <w:sz w:val="20"/>
      <w:szCs w:val="20"/>
    </w:rPr>
  </w:style>
  <w:style w:type="paragraph" w:styleId="TOAHeading">
    <w:name w:val="toa heading"/>
    <w:basedOn w:val="Normal"/>
    <w:next w:val="Normal"/>
    <w:uiPriority w:val="99"/>
    <w:unhideWhenUsed/>
    <w:rsid w:val="00CD686C"/>
    <w:pPr>
      <w:spacing w:before="120"/>
    </w:pPr>
    <w:rPr>
      <w:rFonts w:asciiTheme="majorHAnsi" w:eastAsiaTheme="majorEastAsia" w:hAnsiTheme="majorHAnsi" w:cstheme="majorBidi"/>
      <w:b/>
      <w:bCs/>
      <w:sz w:val="24"/>
      <w:szCs w:val="24"/>
    </w:rPr>
  </w:style>
  <w:style w:type="paragraph" w:customStyle="1" w:styleId="notestylebullets">
    <w:name w:val="note style bullets"/>
    <w:basedOn w:val="Notestyle"/>
    <w:qFormat/>
    <w:rsid w:val="005E54EC"/>
    <w:pPr>
      <w:numPr>
        <w:numId w:val="13"/>
      </w:numPr>
      <w:spacing w:before="0" w:after="0"/>
      <w:ind w:left="592" w:hanging="283"/>
    </w:pPr>
  </w:style>
  <w:style w:type="paragraph" w:styleId="ListBullet2">
    <w:name w:val="List Bullet 2"/>
    <w:basedOn w:val="ListParagraph"/>
    <w:uiPriority w:val="99"/>
    <w:unhideWhenUsed/>
    <w:rsid w:val="003D17D7"/>
    <w:pPr>
      <w:numPr>
        <w:numId w:val="7"/>
      </w:numPr>
      <w:ind w:left="993" w:hanging="284"/>
    </w:pPr>
  </w:style>
  <w:style w:type="paragraph" w:styleId="ListBullet3">
    <w:name w:val="List Bullet 3"/>
    <w:basedOn w:val="ListParagraph"/>
    <w:uiPriority w:val="99"/>
    <w:unhideWhenUsed/>
    <w:rsid w:val="003D17D7"/>
    <w:pPr>
      <w:numPr>
        <w:numId w:val="8"/>
      </w:numPr>
      <w:ind w:left="1418" w:hanging="284"/>
    </w:pPr>
    <w:rPr>
      <w:color w:val="000000" w:themeColor="text1"/>
    </w:rPr>
  </w:style>
  <w:style w:type="paragraph" w:styleId="BodyTextIndent">
    <w:name w:val="Body Text Indent"/>
    <w:basedOn w:val="Normal"/>
    <w:link w:val="BodyTextIndentChar"/>
    <w:uiPriority w:val="99"/>
    <w:unhideWhenUsed/>
    <w:rsid w:val="00FC5D31"/>
    <w:pPr>
      <w:spacing w:after="120"/>
      <w:ind w:left="283"/>
    </w:pPr>
  </w:style>
  <w:style w:type="character" w:customStyle="1" w:styleId="BodyTextIndentChar">
    <w:name w:val="Body Text Indent Char"/>
    <w:basedOn w:val="DefaultParagraphFont"/>
    <w:link w:val="BodyTextIndent"/>
    <w:uiPriority w:val="99"/>
    <w:rsid w:val="00FC5D31"/>
    <w:rPr>
      <w:rFonts w:ascii="Calibri" w:hAnsi="Calibri"/>
    </w:rPr>
  </w:style>
  <w:style w:type="paragraph" w:customStyle="1" w:styleId="indentedtext">
    <w:name w:val="indented text"/>
    <w:basedOn w:val="BodyText"/>
    <w:qFormat/>
    <w:rsid w:val="000A6B30"/>
    <w:pPr>
      <w:ind w:left="709"/>
    </w:pPr>
  </w:style>
  <w:style w:type="paragraph" w:styleId="NoteHeading">
    <w:name w:val="Note Heading"/>
    <w:basedOn w:val="Normal"/>
    <w:next w:val="Normal"/>
    <w:link w:val="NoteHeadingChar"/>
    <w:uiPriority w:val="99"/>
    <w:unhideWhenUsed/>
    <w:rsid w:val="007E6F5D"/>
  </w:style>
  <w:style w:type="character" w:customStyle="1" w:styleId="NoteHeadingChar">
    <w:name w:val="Note Heading Char"/>
    <w:basedOn w:val="DefaultParagraphFont"/>
    <w:link w:val="NoteHeading"/>
    <w:uiPriority w:val="99"/>
    <w:rsid w:val="007E6F5D"/>
    <w:rPr>
      <w:rFonts w:ascii="Calibri" w:hAnsi="Calibri"/>
    </w:rPr>
  </w:style>
  <w:style w:type="numbering" w:customStyle="1" w:styleId="CurrentList1">
    <w:name w:val="Current List1"/>
    <w:uiPriority w:val="99"/>
    <w:rsid w:val="00DC6A0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8423">
      <w:bodyDiv w:val="1"/>
      <w:marLeft w:val="0"/>
      <w:marRight w:val="0"/>
      <w:marTop w:val="0"/>
      <w:marBottom w:val="0"/>
      <w:divBdr>
        <w:top w:val="none" w:sz="0" w:space="0" w:color="auto"/>
        <w:left w:val="none" w:sz="0" w:space="0" w:color="auto"/>
        <w:bottom w:val="none" w:sz="0" w:space="0" w:color="auto"/>
        <w:right w:val="none" w:sz="0" w:space="0" w:color="auto"/>
      </w:divBdr>
    </w:div>
    <w:div w:id="846359544">
      <w:bodyDiv w:val="1"/>
      <w:marLeft w:val="0"/>
      <w:marRight w:val="0"/>
      <w:marTop w:val="0"/>
      <w:marBottom w:val="0"/>
      <w:divBdr>
        <w:top w:val="none" w:sz="0" w:space="0" w:color="auto"/>
        <w:left w:val="none" w:sz="0" w:space="0" w:color="auto"/>
        <w:bottom w:val="none" w:sz="0" w:space="0" w:color="auto"/>
        <w:right w:val="none" w:sz="0" w:space="0" w:color="auto"/>
      </w:divBdr>
      <w:divsChild>
        <w:div w:id="1396929976">
          <w:marLeft w:val="0"/>
          <w:marRight w:val="0"/>
          <w:marTop w:val="0"/>
          <w:marBottom w:val="0"/>
          <w:divBdr>
            <w:top w:val="none" w:sz="0" w:space="0" w:color="auto"/>
            <w:left w:val="none" w:sz="0" w:space="0" w:color="auto"/>
            <w:bottom w:val="none" w:sz="0" w:space="0" w:color="auto"/>
            <w:right w:val="none" w:sz="0" w:space="0" w:color="auto"/>
          </w:divBdr>
        </w:div>
        <w:div w:id="2030907655">
          <w:marLeft w:val="0"/>
          <w:marRight w:val="0"/>
          <w:marTop w:val="0"/>
          <w:marBottom w:val="0"/>
          <w:divBdr>
            <w:top w:val="none" w:sz="0" w:space="0" w:color="auto"/>
            <w:left w:val="none" w:sz="0" w:space="0" w:color="auto"/>
            <w:bottom w:val="none" w:sz="0" w:space="0" w:color="auto"/>
            <w:right w:val="none" w:sz="0" w:space="0" w:color="auto"/>
          </w:divBdr>
        </w:div>
        <w:div w:id="2112629237">
          <w:marLeft w:val="0"/>
          <w:marRight w:val="0"/>
          <w:marTop w:val="0"/>
          <w:marBottom w:val="0"/>
          <w:divBdr>
            <w:top w:val="none" w:sz="0" w:space="0" w:color="auto"/>
            <w:left w:val="none" w:sz="0" w:space="0" w:color="auto"/>
            <w:bottom w:val="none" w:sz="0" w:space="0" w:color="auto"/>
            <w:right w:val="none" w:sz="0" w:space="0" w:color="auto"/>
          </w:divBdr>
        </w:div>
      </w:divsChild>
    </w:div>
    <w:div w:id="1279027504">
      <w:bodyDiv w:val="1"/>
      <w:marLeft w:val="0"/>
      <w:marRight w:val="0"/>
      <w:marTop w:val="0"/>
      <w:marBottom w:val="0"/>
      <w:divBdr>
        <w:top w:val="none" w:sz="0" w:space="0" w:color="auto"/>
        <w:left w:val="none" w:sz="0" w:space="0" w:color="auto"/>
        <w:bottom w:val="none" w:sz="0" w:space="0" w:color="auto"/>
        <w:right w:val="none" w:sz="0" w:space="0" w:color="auto"/>
      </w:divBdr>
      <w:divsChild>
        <w:div w:id="43873678">
          <w:marLeft w:val="0"/>
          <w:marRight w:val="0"/>
          <w:marTop w:val="0"/>
          <w:marBottom w:val="0"/>
          <w:divBdr>
            <w:top w:val="none" w:sz="0" w:space="0" w:color="auto"/>
            <w:left w:val="none" w:sz="0" w:space="0" w:color="auto"/>
            <w:bottom w:val="none" w:sz="0" w:space="0" w:color="auto"/>
            <w:right w:val="none" w:sz="0" w:space="0" w:color="auto"/>
          </w:divBdr>
        </w:div>
        <w:div w:id="328755814">
          <w:marLeft w:val="0"/>
          <w:marRight w:val="0"/>
          <w:marTop w:val="0"/>
          <w:marBottom w:val="0"/>
          <w:divBdr>
            <w:top w:val="none" w:sz="0" w:space="0" w:color="auto"/>
            <w:left w:val="none" w:sz="0" w:space="0" w:color="auto"/>
            <w:bottom w:val="none" w:sz="0" w:space="0" w:color="auto"/>
            <w:right w:val="none" w:sz="0" w:space="0" w:color="auto"/>
          </w:divBdr>
        </w:div>
        <w:div w:id="1850631080">
          <w:marLeft w:val="0"/>
          <w:marRight w:val="0"/>
          <w:marTop w:val="0"/>
          <w:marBottom w:val="0"/>
          <w:divBdr>
            <w:top w:val="none" w:sz="0" w:space="0" w:color="auto"/>
            <w:left w:val="none" w:sz="0" w:space="0" w:color="auto"/>
            <w:bottom w:val="none" w:sz="0" w:space="0" w:color="auto"/>
            <w:right w:val="none" w:sz="0" w:space="0" w:color="auto"/>
          </w:divBdr>
        </w:div>
      </w:divsChild>
    </w:div>
    <w:div w:id="1600679709">
      <w:bodyDiv w:val="1"/>
      <w:marLeft w:val="0"/>
      <w:marRight w:val="0"/>
      <w:marTop w:val="0"/>
      <w:marBottom w:val="0"/>
      <w:divBdr>
        <w:top w:val="none" w:sz="0" w:space="0" w:color="auto"/>
        <w:left w:val="none" w:sz="0" w:space="0" w:color="auto"/>
        <w:bottom w:val="none" w:sz="0" w:space="0" w:color="auto"/>
        <w:right w:val="none" w:sz="0" w:space="0" w:color="auto"/>
      </w:divBdr>
      <w:divsChild>
        <w:div w:id="46956023">
          <w:marLeft w:val="0"/>
          <w:marRight w:val="0"/>
          <w:marTop w:val="0"/>
          <w:marBottom w:val="0"/>
          <w:divBdr>
            <w:top w:val="none" w:sz="0" w:space="0" w:color="auto"/>
            <w:left w:val="none" w:sz="0" w:space="0" w:color="auto"/>
            <w:bottom w:val="none" w:sz="0" w:space="0" w:color="auto"/>
            <w:right w:val="none" w:sz="0" w:space="0" w:color="auto"/>
          </w:divBdr>
        </w:div>
        <w:div w:id="390622582">
          <w:marLeft w:val="0"/>
          <w:marRight w:val="0"/>
          <w:marTop w:val="0"/>
          <w:marBottom w:val="0"/>
          <w:divBdr>
            <w:top w:val="none" w:sz="0" w:space="0" w:color="auto"/>
            <w:left w:val="none" w:sz="0" w:space="0" w:color="auto"/>
            <w:bottom w:val="none" w:sz="0" w:space="0" w:color="auto"/>
            <w:right w:val="none" w:sz="0" w:space="0" w:color="auto"/>
          </w:divBdr>
        </w:div>
        <w:div w:id="2088920971">
          <w:marLeft w:val="0"/>
          <w:marRight w:val="0"/>
          <w:marTop w:val="0"/>
          <w:marBottom w:val="0"/>
          <w:divBdr>
            <w:top w:val="none" w:sz="0" w:space="0" w:color="auto"/>
            <w:left w:val="none" w:sz="0" w:space="0" w:color="auto"/>
            <w:bottom w:val="none" w:sz="0" w:space="0" w:color="auto"/>
            <w:right w:val="none" w:sz="0" w:space="0" w:color="auto"/>
          </w:divBdr>
        </w:div>
      </w:divsChild>
    </w:div>
    <w:div w:id="1837377071">
      <w:bodyDiv w:val="1"/>
      <w:marLeft w:val="0"/>
      <w:marRight w:val="0"/>
      <w:marTop w:val="0"/>
      <w:marBottom w:val="0"/>
      <w:divBdr>
        <w:top w:val="none" w:sz="0" w:space="0" w:color="auto"/>
        <w:left w:val="none" w:sz="0" w:space="0" w:color="auto"/>
        <w:bottom w:val="none" w:sz="0" w:space="0" w:color="auto"/>
        <w:right w:val="none" w:sz="0" w:space="0" w:color="auto"/>
      </w:divBdr>
      <w:divsChild>
        <w:div w:id="312216940">
          <w:marLeft w:val="0"/>
          <w:marRight w:val="0"/>
          <w:marTop w:val="0"/>
          <w:marBottom w:val="0"/>
          <w:divBdr>
            <w:top w:val="none" w:sz="0" w:space="0" w:color="auto"/>
            <w:left w:val="none" w:sz="0" w:space="0" w:color="auto"/>
            <w:bottom w:val="none" w:sz="0" w:space="0" w:color="auto"/>
            <w:right w:val="none" w:sz="0" w:space="0" w:color="auto"/>
          </w:divBdr>
        </w:div>
        <w:div w:id="393624799">
          <w:marLeft w:val="0"/>
          <w:marRight w:val="0"/>
          <w:marTop w:val="0"/>
          <w:marBottom w:val="0"/>
          <w:divBdr>
            <w:top w:val="none" w:sz="0" w:space="0" w:color="auto"/>
            <w:left w:val="none" w:sz="0" w:space="0" w:color="auto"/>
            <w:bottom w:val="none" w:sz="0" w:space="0" w:color="auto"/>
            <w:right w:val="none" w:sz="0" w:space="0" w:color="auto"/>
          </w:divBdr>
        </w:div>
        <w:div w:id="426272046">
          <w:marLeft w:val="0"/>
          <w:marRight w:val="0"/>
          <w:marTop w:val="0"/>
          <w:marBottom w:val="0"/>
          <w:divBdr>
            <w:top w:val="none" w:sz="0" w:space="0" w:color="auto"/>
            <w:left w:val="none" w:sz="0" w:space="0" w:color="auto"/>
            <w:bottom w:val="none" w:sz="0" w:space="0" w:color="auto"/>
            <w:right w:val="none" w:sz="0" w:space="0" w:color="auto"/>
          </w:divBdr>
        </w:div>
        <w:div w:id="925578176">
          <w:marLeft w:val="0"/>
          <w:marRight w:val="0"/>
          <w:marTop w:val="0"/>
          <w:marBottom w:val="0"/>
          <w:divBdr>
            <w:top w:val="none" w:sz="0" w:space="0" w:color="auto"/>
            <w:left w:val="none" w:sz="0" w:space="0" w:color="auto"/>
            <w:bottom w:val="none" w:sz="0" w:space="0" w:color="auto"/>
            <w:right w:val="none" w:sz="0" w:space="0" w:color="auto"/>
          </w:divBdr>
        </w:div>
        <w:div w:id="1165704198">
          <w:marLeft w:val="0"/>
          <w:marRight w:val="0"/>
          <w:marTop w:val="0"/>
          <w:marBottom w:val="0"/>
          <w:divBdr>
            <w:top w:val="none" w:sz="0" w:space="0" w:color="auto"/>
            <w:left w:val="none" w:sz="0" w:space="0" w:color="auto"/>
            <w:bottom w:val="none" w:sz="0" w:space="0" w:color="auto"/>
            <w:right w:val="none" w:sz="0" w:space="0" w:color="auto"/>
          </w:divBdr>
        </w:div>
        <w:div w:id="1173833084">
          <w:marLeft w:val="0"/>
          <w:marRight w:val="0"/>
          <w:marTop w:val="0"/>
          <w:marBottom w:val="0"/>
          <w:divBdr>
            <w:top w:val="none" w:sz="0" w:space="0" w:color="auto"/>
            <w:left w:val="none" w:sz="0" w:space="0" w:color="auto"/>
            <w:bottom w:val="none" w:sz="0" w:space="0" w:color="auto"/>
            <w:right w:val="none" w:sz="0" w:space="0" w:color="auto"/>
          </w:divBdr>
        </w:div>
        <w:div w:id="1737973104">
          <w:marLeft w:val="0"/>
          <w:marRight w:val="0"/>
          <w:marTop w:val="0"/>
          <w:marBottom w:val="0"/>
          <w:divBdr>
            <w:top w:val="none" w:sz="0" w:space="0" w:color="auto"/>
            <w:left w:val="none" w:sz="0" w:space="0" w:color="auto"/>
            <w:bottom w:val="none" w:sz="0" w:space="0" w:color="auto"/>
            <w:right w:val="none" w:sz="0" w:space="0" w:color="auto"/>
          </w:divBdr>
        </w:div>
        <w:div w:id="1817187420">
          <w:marLeft w:val="0"/>
          <w:marRight w:val="0"/>
          <w:marTop w:val="0"/>
          <w:marBottom w:val="0"/>
          <w:divBdr>
            <w:top w:val="none" w:sz="0" w:space="0" w:color="auto"/>
            <w:left w:val="none" w:sz="0" w:space="0" w:color="auto"/>
            <w:bottom w:val="none" w:sz="0" w:space="0" w:color="auto"/>
            <w:right w:val="none" w:sz="0" w:space="0" w:color="auto"/>
          </w:divBdr>
        </w:div>
        <w:div w:id="1831948032">
          <w:marLeft w:val="0"/>
          <w:marRight w:val="0"/>
          <w:marTop w:val="0"/>
          <w:marBottom w:val="0"/>
          <w:divBdr>
            <w:top w:val="none" w:sz="0" w:space="0" w:color="auto"/>
            <w:left w:val="none" w:sz="0" w:space="0" w:color="auto"/>
            <w:bottom w:val="none" w:sz="0" w:space="0" w:color="auto"/>
            <w:right w:val="none" w:sz="0" w:space="0" w:color="auto"/>
          </w:divBdr>
        </w:div>
      </w:divsChild>
    </w:div>
    <w:div w:id="1990284503">
      <w:bodyDiv w:val="1"/>
      <w:marLeft w:val="0"/>
      <w:marRight w:val="0"/>
      <w:marTop w:val="0"/>
      <w:marBottom w:val="0"/>
      <w:divBdr>
        <w:top w:val="none" w:sz="0" w:space="0" w:color="auto"/>
        <w:left w:val="none" w:sz="0" w:space="0" w:color="auto"/>
        <w:bottom w:val="none" w:sz="0" w:space="0" w:color="auto"/>
        <w:right w:val="none" w:sz="0" w:space="0" w:color="auto"/>
      </w:divBdr>
      <w:divsChild>
        <w:div w:id="271789161">
          <w:marLeft w:val="0"/>
          <w:marRight w:val="0"/>
          <w:marTop w:val="0"/>
          <w:marBottom w:val="0"/>
          <w:divBdr>
            <w:top w:val="none" w:sz="0" w:space="0" w:color="auto"/>
            <w:left w:val="none" w:sz="0" w:space="0" w:color="auto"/>
            <w:bottom w:val="none" w:sz="0" w:space="0" w:color="auto"/>
            <w:right w:val="none" w:sz="0" w:space="0" w:color="auto"/>
          </w:divBdr>
        </w:div>
        <w:div w:id="415785921">
          <w:marLeft w:val="0"/>
          <w:marRight w:val="0"/>
          <w:marTop w:val="0"/>
          <w:marBottom w:val="0"/>
          <w:divBdr>
            <w:top w:val="none" w:sz="0" w:space="0" w:color="auto"/>
            <w:left w:val="none" w:sz="0" w:space="0" w:color="auto"/>
            <w:bottom w:val="none" w:sz="0" w:space="0" w:color="auto"/>
            <w:right w:val="none" w:sz="0" w:space="0" w:color="auto"/>
          </w:divBdr>
        </w:div>
        <w:div w:id="1015885914">
          <w:marLeft w:val="0"/>
          <w:marRight w:val="0"/>
          <w:marTop w:val="0"/>
          <w:marBottom w:val="0"/>
          <w:divBdr>
            <w:top w:val="none" w:sz="0" w:space="0" w:color="auto"/>
            <w:left w:val="none" w:sz="0" w:space="0" w:color="auto"/>
            <w:bottom w:val="none" w:sz="0" w:space="0" w:color="auto"/>
            <w:right w:val="none" w:sz="0" w:space="0" w:color="auto"/>
          </w:divBdr>
        </w:div>
        <w:div w:id="1132479641">
          <w:marLeft w:val="0"/>
          <w:marRight w:val="0"/>
          <w:marTop w:val="0"/>
          <w:marBottom w:val="0"/>
          <w:divBdr>
            <w:top w:val="none" w:sz="0" w:space="0" w:color="auto"/>
            <w:left w:val="none" w:sz="0" w:space="0" w:color="auto"/>
            <w:bottom w:val="none" w:sz="0" w:space="0" w:color="auto"/>
            <w:right w:val="none" w:sz="0" w:space="0" w:color="auto"/>
          </w:divBdr>
        </w:div>
        <w:div w:id="1421683252">
          <w:marLeft w:val="0"/>
          <w:marRight w:val="0"/>
          <w:marTop w:val="0"/>
          <w:marBottom w:val="0"/>
          <w:divBdr>
            <w:top w:val="none" w:sz="0" w:space="0" w:color="auto"/>
            <w:left w:val="none" w:sz="0" w:space="0" w:color="auto"/>
            <w:bottom w:val="none" w:sz="0" w:space="0" w:color="auto"/>
            <w:right w:val="none" w:sz="0" w:space="0" w:color="auto"/>
          </w:divBdr>
        </w:div>
        <w:div w:id="1594629277">
          <w:marLeft w:val="0"/>
          <w:marRight w:val="0"/>
          <w:marTop w:val="0"/>
          <w:marBottom w:val="0"/>
          <w:divBdr>
            <w:top w:val="none" w:sz="0" w:space="0" w:color="auto"/>
            <w:left w:val="none" w:sz="0" w:space="0" w:color="auto"/>
            <w:bottom w:val="none" w:sz="0" w:space="0" w:color="auto"/>
            <w:right w:val="none" w:sz="0" w:space="0" w:color="auto"/>
          </w:divBdr>
        </w:div>
        <w:div w:id="1703550297">
          <w:marLeft w:val="0"/>
          <w:marRight w:val="0"/>
          <w:marTop w:val="0"/>
          <w:marBottom w:val="0"/>
          <w:divBdr>
            <w:top w:val="none" w:sz="0" w:space="0" w:color="auto"/>
            <w:left w:val="none" w:sz="0" w:space="0" w:color="auto"/>
            <w:bottom w:val="none" w:sz="0" w:space="0" w:color="auto"/>
            <w:right w:val="none" w:sz="0" w:space="0" w:color="auto"/>
          </w:divBdr>
        </w:div>
        <w:div w:id="1940521746">
          <w:marLeft w:val="0"/>
          <w:marRight w:val="0"/>
          <w:marTop w:val="0"/>
          <w:marBottom w:val="0"/>
          <w:divBdr>
            <w:top w:val="none" w:sz="0" w:space="0" w:color="auto"/>
            <w:left w:val="none" w:sz="0" w:space="0" w:color="auto"/>
            <w:bottom w:val="none" w:sz="0" w:space="0" w:color="auto"/>
            <w:right w:val="none" w:sz="0" w:space="0" w:color="auto"/>
          </w:divBdr>
        </w:div>
        <w:div w:id="2030712116">
          <w:marLeft w:val="0"/>
          <w:marRight w:val="0"/>
          <w:marTop w:val="0"/>
          <w:marBottom w:val="0"/>
          <w:divBdr>
            <w:top w:val="none" w:sz="0" w:space="0" w:color="auto"/>
            <w:left w:val="none" w:sz="0" w:space="0" w:color="auto"/>
            <w:bottom w:val="none" w:sz="0" w:space="0" w:color="auto"/>
            <w:right w:val="none" w:sz="0" w:space="0" w:color="auto"/>
          </w:divBdr>
        </w:div>
      </w:divsChild>
    </w:div>
    <w:div w:id="1999915281">
      <w:bodyDiv w:val="1"/>
      <w:marLeft w:val="0"/>
      <w:marRight w:val="0"/>
      <w:marTop w:val="0"/>
      <w:marBottom w:val="0"/>
      <w:divBdr>
        <w:top w:val="none" w:sz="0" w:space="0" w:color="auto"/>
        <w:left w:val="none" w:sz="0" w:space="0" w:color="auto"/>
        <w:bottom w:val="none" w:sz="0" w:space="0" w:color="auto"/>
        <w:right w:val="none" w:sz="0" w:space="0" w:color="auto"/>
      </w:divBdr>
      <w:divsChild>
        <w:div w:id="284233936">
          <w:marLeft w:val="0"/>
          <w:marRight w:val="0"/>
          <w:marTop w:val="0"/>
          <w:marBottom w:val="0"/>
          <w:divBdr>
            <w:top w:val="none" w:sz="0" w:space="0" w:color="auto"/>
            <w:left w:val="none" w:sz="0" w:space="0" w:color="auto"/>
            <w:bottom w:val="none" w:sz="0" w:space="0" w:color="auto"/>
            <w:right w:val="none" w:sz="0" w:space="0" w:color="auto"/>
          </w:divBdr>
        </w:div>
        <w:div w:id="1155494990">
          <w:marLeft w:val="0"/>
          <w:marRight w:val="0"/>
          <w:marTop w:val="0"/>
          <w:marBottom w:val="0"/>
          <w:divBdr>
            <w:top w:val="none" w:sz="0" w:space="0" w:color="auto"/>
            <w:left w:val="none" w:sz="0" w:space="0" w:color="auto"/>
            <w:bottom w:val="none" w:sz="0" w:space="0" w:color="auto"/>
            <w:right w:val="none" w:sz="0" w:space="0" w:color="auto"/>
          </w:divBdr>
        </w:div>
        <w:div w:id="2048066433">
          <w:marLeft w:val="0"/>
          <w:marRight w:val="0"/>
          <w:marTop w:val="0"/>
          <w:marBottom w:val="0"/>
          <w:divBdr>
            <w:top w:val="none" w:sz="0" w:space="0" w:color="auto"/>
            <w:left w:val="none" w:sz="0" w:space="0" w:color="auto"/>
            <w:bottom w:val="none" w:sz="0" w:space="0" w:color="auto"/>
            <w:right w:val="none" w:sz="0" w:space="0" w:color="auto"/>
          </w:divBdr>
        </w:div>
      </w:divsChild>
    </w:div>
    <w:div w:id="2046328574">
      <w:bodyDiv w:val="1"/>
      <w:marLeft w:val="0"/>
      <w:marRight w:val="0"/>
      <w:marTop w:val="0"/>
      <w:marBottom w:val="0"/>
      <w:divBdr>
        <w:top w:val="none" w:sz="0" w:space="0" w:color="auto"/>
        <w:left w:val="none" w:sz="0" w:space="0" w:color="auto"/>
        <w:bottom w:val="none" w:sz="0" w:space="0" w:color="auto"/>
        <w:right w:val="none" w:sz="0" w:space="0" w:color="auto"/>
      </w:divBdr>
    </w:div>
    <w:div w:id="2118406325">
      <w:bodyDiv w:val="1"/>
      <w:marLeft w:val="0"/>
      <w:marRight w:val="0"/>
      <w:marTop w:val="0"/>
      <w:marBottom w:val="0"/>
      <w:divBdr>
        <w:top w:val="none" w:sz="0" w:space="0" w:color="auto"/>
        <w:left w:val="none" w:sz="0" w:space="0" w:color="auto"/>
        <w:bottom w:val="none" w:sz="0" w:space="0" w:color="auto"/>
        <w:right w:val="none" w:sz="0" w:space="0" w:color="auto"/>
      </w:divBdr>
      <w:divsChild>
        <w:div w:id="412897336">
          <w:marLeft w:val="0"/>
          <w:marRight w:val="0"/>
          <w:marTop w:val="0"/>
          <w:marBottom w:val="0"/>
          <w:divBdr>
            <w:top w:val="none" w:sz="0" w:space="0" w:color="auto"/>
            <w:left w:val="none" w:sz="0" w:space="0" w:color="auto"/>
            <w:bottom w:val="none" w:sz="0" w:space="0" w:color="auto"/>
            <w:right w:val="none" w:sz="0" w:space="0" w:color="auto"/>
          </w:divBdr>
        </w:div>
        <w:div w:id="1259869525">
          <w:marLeft w:val="0"/>
          <w:marRight w:val="0"/>
          <w:marTop w:val="0"/>
          <w:marBottom w:val="0"/>
          <w:divBdr>
            <w:top w:val="none" w:sz="0" w:space="0" w:color="auto"/>
            <w:left w:val="none" w:sz="0" w:space="0" w:color="auto"/>
            <w:bottom w:val="none" w:sz="0" w:space="0" w:color="auto"/>
            <w:right w:val="none" w:sz="0" w:space="0" w:color="auto"/>
          </w:divBdr>
        </w:div>
        <w:div w:id="1460688280">
          <w:marLeft w:val="0"/>
          <w:marRight w:val="0"/>
          <w:marTop w:val="0"/>
          <w:marBottom w:val="0"/>
          <w:divBdr>
            <w:top w:val="none" w:sz="0" w:space="0" w:color="auto"/>
            <w:left w:val="none" w:sz="0" w:space="0" w:color="auto"/>
            <w:bottom w:val="none" w:sz="0" w:space="0" w:color="auto"/>
            <w:right w:val="none" w:sz="0" w:space="0" w:color="auto"/>
          </w:divBdr>
          <w:divsChild>
            <w:div w:id="519321753">
              <w:marLeft w:val="-75"/>
              <w:marRight w:val="0"/>
              <w:marTop w:val="30"/>
              <w:marBottom w:val="30"/>
              <w:divBdr>
                <w:top w:val="none" w:sz="0" w:space="0" w:color="auto"/>
                <w:left w:val="none" w:sz="0" w:space="0" w:color="auto"/>
                <w:bottom w:val="none" w:sz="0" w:space="0" w:color="auto"/>
                <w:right w:val="none" w:sz="0" w:space="0" w:color="auto"/>
              </w:divBdr>
              <w:divsChild>
                <w:div w:id="165629944">
                  <w:marLeft w:val="0"/>
                  <w:marRight w:val="0"/>
                  <w:marTop w:val="0"/>
                  <w:marBottom w:val="0"/>
                  <w:divBdr>
                    <w:top w:val="none" w:sz="0" w:space="0" w:color="auto"/>
                    <w:left w:val="none" w:sz="0" w:space="0" w:color="auto"/>
                    <w:bottom w:val="none" w:sz="0" w:space="0" w:color="auto"/>
                    <w:right w:val="none" w:sz="0" w:space="0" w:color="auto"/>
                  </w:divBdr>
                  <w:divsChild>
                    <w:div w:id="1203832174">
                      <w:marLeft w:val="0"/>
                      <w:marRight w:val="0"/>
                      <w:marTop w:val="0"/>
                      <w:marBottom w:val="0"/>
                      <w:divBdr>
                        <w:top w:val="none" w:sz="0" w:space="0" w:color="auto"/>
                        <w:left w:val="none" w:sz="0" w:space="0" w:color="auto"/>
                        <w:bottom w:val="none" w:sz="0" w:space="0" w:color="auto"/>
                        <w:right w:val="none" w:sz="0" w:space="0" w:color="auto"/>
                      </w:divBdr>
                    </w:div>
                    <w:div w:id="1569724865">
                      <w:marLeft w:val="0"/>
                      <w:marRight w:val="0"/>
                      <w:marTop w:val="0"/>
                      <w:marBottom w:val="0"/>
                      <w:divBdr>
                        <w:top w:val="none" w:sz="0" w:space="0" w:color="auto"/>
                        <w:left w:val="none" w:sz="0" w:space="0" w:color="auto"/>
                        <w:bottom w:val="none" w:sz="0" w:space="0" w:color="auto"/>
                        <w:right w:val="none" w:sz="0" w:space="0" w:color="auto"/>
                      </w:divBdr>
                    </w:div>
                  </w:divsChild>
                </w:div>
                <w:div w:id="224801764">
                  <w:marLeft w:val="0"/>
                  <w:marRight w:val="0"/>
                  <w:marTop w:val="0"/>
                  <w:marBottom w:val="0"/>
                  <w:divBdr>
                    <w:top w:val="none" w:sz="0" w:space="0" w:color="auto"/>
                    <w:left w:val="none" w:sz="0" w:space="0" w:color="auto"/>
                    <w:bottom w:val="none" w:sz="0" w:space="0" w:color="auto"/>
                    <w:right w:val="none" w:sz="0" w:space="0" w:color="auto"/>
                  </w:divBdr>
                  <w:divsChild>
                    <w:div w:id="581795646">
                      <w:marLeft w:val="0"/>
                      <w:marRight w:val="0"/>
                      <w:marTop w:val="0"/>
                      <w:marBottom w:val="0"/>
                      <w:divBdr>
                        <w:top w:val="none" w:sz="0" w:space="0" w:color="auto"/>
                        <w:left w:val="none" w:sz="0" w:space="0" w:color="auto"/>
                        <w:bottom w:val="none" w:sz="0" w:space="0" w:color="auto"/>
                        <w:right w:val="none" w:sz="0" w:space="0" w:color="auto"/>
                      </w:divBdr>
                    </w:div>
                  </w:divsChild>
                </w:div>
                <w:div w:id="352146462">
                  <w:marLeft w:val="0"/>
                  <w:marRight w:val="0"/>
                  <w:marTop w:val="0"/>
                  <w:marBottom w:val="0"/>
                  <w:divBdr>
                    <w:top w:val="none" w:sz="0" w:space="0" w:color="auto"/>
                    <w:left w:val="none" w:sz="0" w:space="0" w:color="auto"/>
                    <w:bottom w:val="none" w:sz="0" w:space="0" w:color="auto"/>
                    <w:right w:val="none" w:sz="0" w:space="0" w:color="auto"/>
                  </w:divBdr>
                  <w:divsChild>
                    <w:div w:id="1340112624">
                      <w:marLeft w:val="0"/>
                      <w:marRight w:val="0"/>
                      <w:marTop w:val="0"/>
                      <w:marBottom w:val="0"/>
                      <w:divBdr>
                        <w:top w:val="none" w:sz="0" w:space="0" w:color="auto"/>
                        <w:left w:val="none" w:sz="0" w:space="0" w:color="auto"/>
                        <w:bottom w:val="none" w:sz="0" w:space="0" w:color="auto"/>
                        <w:right w:val="none" w:sz="0" w:space="0" w:color="auto"/>
                      </w:divBdr>
                    </w:div>
                    <w:div w:id="1599556680">
                      <w:marLeft w:val="0"/>
                      <w:marRight w:val="0"/>
                      <w:marTop w:val="0"/>
                      <w:marBottom w:val="0"/>
                      <w:divBdr>
                        <w:top w:val="none" w:sz="0" w:space="0" w:color="auto"/>
                        <w:left w:val="none" w:sz="0" w:space="0" w:color="auto"/>
                        <w:bottom w:val="none" w:sz="0" w:space="0" w:color="auto"/>
                        <w:right w:val="none" w:sz="0" w:space="0" w:color="auto"/>
                      </w:divBdr>
                    </w:div>
                  </w:divsChild>
                </w:div>
                <w:div w:id="352612115">
                  <w:marLeft w:val="0"/>
                  <w:marRight w:val="0"/>
                  <w:marTop w:val="0"/>
                  <w:marBottom w:val="0"/>
                  <w:divBdr>
                    <w:top w:val="none" w:sz="0" w:space="0" w:color="auto"/>
                    <w:left w:val="none" w:sz="0" w:space="0" w:color="auto"/>
                    <w:bottom w:val="none" w:sz="0" w:space="0" w:color="auto"/>
                    <w:right w:val="none" w:sz="0" w:space="0" w:color="auto"/>
                  </w:divBdr>
                  <w:divsChild>
                    <w:div w:id="1256984860">
                      <w:marLeft w:val="0"/>
                      <w:marRight w:val="0"/>
                      <w:marTop w:val="0"/>
                      <w:marBottom w:val="0"/>
                      <w:divBdr>
                        <w:top w:val="none" w:sz="0" w:space="0" w:color="auto"/>
                        <w:left w:val="none" w:sz="0" w:space="0" w:color="auto"/>
                        <w:bottom w:val="none" w:sz="0" w:space="0" w:color="auto"/>
                        <w:right w:val="none" w:sz="0" w:space="0" w:color="auto"/>
                      </w:divBdr>
                    </w:div>
                    <w:div w:id="1832062604">
                      <w:marLeft w:val="0"/>
                      <w:marRight w:val="0"/>
                      <w:marTop w:val="0"/>
                      <w:marBottom w:val="0"/>
                      <w:divBdr>
                        <w:top w:val="none" w:sz="0" w:space="0" w:color="auto"/>
                        <w:left w:val="none" w:sz="0" w:space="0" w:color="auto"/>
                        <w:bottom w:val="none" w:sz="0" w:space="0" w:color="auto"/>
                        <w:right w:val="none" w:sz="0" w:space="0" w:color="auto"/>
                      </w:divBdr>
                    </w:div>
                  </w:divsChild>
                </w:div>
                <w:div w:id="526455688">
                  <w:marLeft w:val="0"/>
                  <w:marRight w:val="0"/>
                  <w:marTop w:val="0"/>
                  <w:marBottom w:val="0"/>
                  <w:divBdr>
                    <w:top w:val="none" w:sz="0" w:space="0" w:color="auto"/>
                    <w:left w:val="none" w:sz="0" w:space="0" w:color="auto"/>
                    <w:bottom w:val="none" w:sz="0" w:space="0" w:color="auto"/>
                    <w:right w:val="none" w:sz="0" w:space="0" w:color="auto"/>
                  </w:divBdr>
                  <w:divsChild>
                    <w:div w:id="752973386">
                      <w:marLeft w:val="0"/>
                      <w:marRight w:val="0"/>
                      <w:marTop w:val="0"/>
                      <w:marBottom w:val="0"/>
                      <w:divBdr>
                        <w:top w:val="none" w:sz="0" w:space="0" w:color="auto"/>
                        <w:left w:val="none" w:sz="0" w:space="0" w:color="auto"/>
                        <w:bottom w:val="none" w:sz="0" w:space="0" w:color="auto"/>
                        <w:right w:val="none" w:sz="0" w:space="0" w:color="auto"/>
                      </w:divBdr>
                    </w:div>
                    <w:div w:id="1743067419">
                      <w:marLeft w:val="0"/>
                      <w:marRight w:val="0"/>
                      <w:marTop w:val="0"/>
                      <w:marBottom w:val="0"/>
                      <w:divBdr>
                        <w:top w:val="none" w:sz="0" w:space="0" w:color="auto"/>
                        <w:left w:val="none" w:sz="0" w:space="0" w:color="auto"/>
                        <w:bottom w:val="none" w:sz="0" w:space="0" w:color="auto"/>
                        <w:right w:val="none" w:sz="0" w:space="0" w:color="auto"/>
                      </w:divBdr>
                    </w:div>
                  </w:divsChild>
                </w:div>
                <w:div w:id="837115381">
                  <w:marLeft w:val="0"/>
                  <w:marRight w:val="0"/>
                  <w:marTop w:val="0"/>
                  <w:marBottom w:val="0"/>
                  <w:divBdr>
                    <w:top w:val="none" w:sz="0" w:space="0" w:color="auto"/>
                    <w:left w:val="none" w:sz="0" w:space="0" w:color="auto"/>
                    <w:bottom w:val="none" w:sz="0" w:space="0" w:color="auto"/>
                    <w:right w:val="none" w:sz="0" w:space="0" w:color="auto"/>
                  </w:divBdr>
                  <w:divsChild>
                    <w:div w:id="1918325407">
                      <w:marLeft w:val="0"/>
                      <w:marRight w:val="0"/>
                      <w:marTop w:val="0"/>
                      <w:marBottom w:val="0"/>
                      <w:divBdr>
                        <w:top w:val="none" w:sz="0" w:space="0" w:color="auto"/>
                        <w:left w:val="none" w:sz="0" w:space="0" w:color="auto"/>
                        <w:bottom w:val="none" w:sz="0" w:space="0" w:color="auto"/>
                        <w:right w:val="none" w:sz="0" w:space="0" w:color="auto"/>
                      </w:divBdr>
                    </w:div>
                  </w:divsChild>
                </w:div>
                <w:div w:id="851184210">
                  <w:marLeft w:val="0"/>
                  <w:marRight w:val="0"/>
                  <w:marTop w:val="0"/>
                  <w:marBottom w:val="0"/>
                  <w:divBdr>
                    <w:top w:val="none" w:sz="0" w:space="0" w:color="auto"/>
                    <w:left w:val="none" w:sz="0" w:space="0" w:color="auto"/>
                    <w:bottom w:val="none" w:sz="0" w:space="0" w:color="auto"/>
                    <w:right w:val="none" w:sz="0" w:space="0" w:color="auto"/>
                  </w:divBdr>
                  <w:divsChild>
                    <w:div w:id="265817515">
                      <w:marLeft w:val="0"/>
                      <w:marRight w:val="0"/>
                      <w:marTop w:val="0"/>
                      <w:marBottom w:val="0"/>
                      <w:divBdr>
                        <w:top w:val="none" w:sz="0" w:space="0" w:color="auto"/>
                        <w:left w:val="none" w:sz="0" w:space="0" w:color="auto"/>
                        <w:bottom w:val="none" w:sz="0" w:space="0" w:color="auto"/>
                        <w:right w:val="none" w:sz="0" w:space="0" w:color="auto"/>
                      </w:divBdr>
                    </w:div>
                    <w:div w:id="1193685713">
                      <w:marLeft w:val="0"/>
                      <w:marRight w:val="0"/>
                      <w:marTop w:val="0"/>
                      <w:marBottom w:val="0"/>
                      <w:divBdr>
                        <w:top w:val="none" w:sz="0" w:space="0" w:color="auto"/>
                        <w:left w:val="none" w:sz="0" w:space="0" w:color="auto"/>
                        <w:bottom w:val="none" w:sz="0" w:space="0" w:color="auto"/>
                        <w:right w:val="none" w:sz="0" w:space="0" w:color="auto"/>
                      </w:divBdr>
                    </w:div>
                    <w:div w:id="1279339203">
                      <w:marLeft w:val="0"/>
                      <w:marRight w:val="0"/>
                      <w:marTop w:val="0"/>
                      <w:marBottom w:val="0"/>
                      <w:divBdr>
                        <w:top w:val="none" w:sz="0" w:space="0" w:color="auto"/>
                        <w:left w:val="none" w:sz="0" w:space="0" w:color="auto"/>
                        <w:bottom w:val="none" w:sz="0" w:space="0" w:color="auto"/>
                        <w:right w:val="none" w:sz="0" w:space="0" w:color="auto"/>
                      </w:divBdr>
                    </w:div>
                    <w:div w:id="1410998689">
                      <w:marLeft w:val="0"/>
                      <w:marRight w:val="0"/>
                      <w:marTop w:val="0"/>
                      <w:marBottom w:val="0"/>
                      <w:divBdr>
                        <w:top w:val="none" w:sz="0" w:space="0" w:color="auto"/>
                        <w:left w:val="none" w:sz="0" w:space="0" w:color="auto"/>
                        <w:bottom w:val="none" w:sz="0" w:space="0" w:color="auto"/>
                        <w:right w:val="none" w:sz="0" w:space="0" w:color="auto"/>
                      </w:divBdr>
                    </w:div>
                  </w:divsChild>
                </w:div>
                <w:div w:id="1339187169">
                  <w:marLeft w:val="0"/>
                  <w:marRight w:val="0"/>
                  <w:marTop w:val="0"/>
                  <w:marBottom w:val="0"/>
                  <w:divBdr>
                    <w:top w:val="none" w:sz="0" w:space="0" w:color="auto"/>
                    <w:left w:val="none" w:sz="0" w:space="0" w:color="auto"/>
                    <w:bottom w:val="none" w:sz="0" w:space="0" w:color="auto"/>
                    <w:right w:val="none" w:sz="0" w:space="0" w:color="auto"/>
                  </w:divBdr>
                  <w:divsChild>
                    <w:div w:id="247888504">
                      <w:marLeft w:val="0"/>
                      <w:marRight w:val="0"/>
                      <w:marTop w:val="0"/>
                      <w:marBottom w:val="0"/>
                      <w:divBdr>
                        <w:top w:val="none" w:sz="0" w:space="0" w:color="auto"/>
                        <w:left w:val="none" w:sz="0" w:space="0" w:color="auto"/>
                        <w:bottom w:val="none" w:sz="0" w:space="0" w:color="auto"/>
                        <w:right w:val="none" w:sz="0" w:space="0" w:color="auto"/>
                      </w:divBdr>
                    </w:div>
                    <w:div w:id="1867020165">
                      <w:marLeft w:val="0"/>
                      <w:marRight w:val="0"/>
                      <w:marTop w:val="0"/>
                      <w:marBottom w:val="0"/>
                      <w:divBdr>
                        <w:top w:val="none" w:sz="0" w:space="0" w:color="auto"/>
                        <w:left w:val="none" w:sz="0" w:space="0" w:color="auto"/>
                        <w:bottom w:val="none" w:sz="0" w:space="0" w:color="auto"/>
                        <w:right w:val="none" w:sz="0" w:space="0" w:color="auto"/>
                      </w:divBdr>
                    </w:div>
                  </w:divsChild>
                </w:div>
                <w:div w:id="1883245447">
                  <w:marLeft w:val="0"/>
                  <w:marRight w:val="0"/>
                  <w:marTop w:val="0"/>
                  <w:marBottom w:val="0"/>
                  <w:divBdr>
                    <w:top w:val="none" w:sz="0" w:space="0" w:color="auto"/>
                    <w:left w:val="none" w:sz="0" w:space="0" w:color="auto"/>
                    <w:bottom w:val="none" w:sz="0" w:space="0" w:color="auto"/>
                    <w:right w:val="none" w:sz="0" w:space="0" w:color="auto"/>
                  </w:divBdr>
                  <w:divsChild>
                    <w:div w:id="370960607">
                      <w:marLeft w:val="0"/>
                      <w:marRight w:val="0"/>
                      <w:marTop w:val="0"/>
                      <w:marBottom w:val="0"/>
                      <w:divBdr>
                        <w:top w:val="none" w:sz="0" w:space="0" w:color="auto"/>
                        <w:left w:val="none" w:sz="0" w:space="0" w:color="auto"/>
                        <w:bottom w:val="none" w:sz="0" w:space="0" w:color="auto"/>
                        <w:right w:val="none" w:sz="0" w:space="0" w:color="auto"/>
                      </w:divBdr>
                    </w:div>
                    <w:div w:id="1455440383">
                      <w:marLeft w:val="0"/>
                      <w:marRight w:val="0"/>
                      <w:marTop w:val="0"/>
                      <w:marBottom w:val="0"/>
                      <w:divBdr>
                        <w:top w:val="none" w:sz="0" w:space="0" w:color="auto"/>
                        <w:left w:val="none" w:sz="0" w:space="0" w:color="auto"/>
                        <w:bottom w:val="none" w:sz="0" w:space="0" w:color="auto"/>
                        <w:right w:val="none" w:sz="0" w:space="0" w:color="auto"/>
                      </w:divBdr>
                    </w:div>
                  </w:divsChild>
                </w:div>
                <w:div w:id="1910535907">
                  <w:marLeft w:val="0"/>
                  <w:marRight w:val="0"/>
                  <w:marTop w:val="0"/>
                  <w:marBottom w:val="0"/>
                  <w:divBdr>
                    <w:top w:val="none" w:sz="0" w:space="0" w:color="auto"/>
                    <w:left w:val="none" w:sz="0" w:space="0" w:color="auto"/>
                    <w:bottom w:val="none" w:sz="0" w:space="0" w:color="auto"/>
                    <w:right w:val="none" w:sz="0" w:space="0" w:color="auto"/>
                  </w:divBdr>
                  <w:divsChild>
                    <w:div w:id="95486419">
                      <w:marLeft w:val="0"/>
                      <w:marRight w:val="0"/>
                      <w:marTop w:val="0"/>
                      <w:marBottom w:val="0"/>
                      <w:divBdr>
                        <w:top w:val="none" w:sz="0" w:space="0" w:color="auto"/>
                        <w:left w:val="none" w:sz="0" w:space="0" w:color="auto"/>
                        <w:bottom w:val="none" w:sz="0" w:space="0" w:color="auto"/>
                        <w:right w:val="none" w:sz="0" w:space="0" w:color="auto"/>
                      </w:divBdr>
                    </w:div>
                  </w:divsChild>
                </w:div>
                <w:div w:id="2031368233">
                  <w:marLeft w:val="0"/>
                  <w:marRight w:val="0"/>
                  <w:marTop w:val="0"/>
                  <w:marBottom w:val="0"/>
                  <w:divBdr>
                    <w:top w:val="none" w:sz="0" w:space="0" w:color="auto"/>
                    <w:left w:val="none" w:sz="0" w:space="0" w:color="auto"/>
                    <w:bottom w:val="none" w:sz="0" w:space="0" w:color="auto"/>
                    <w:right w:val="none" w:sz="0" w:space="0" w:color="auto"/>
                  </w:divBdr>
                  <w:divsChild>
                    <w:div w:id="403724315">
                      <w:marLeft w:val="0"/>
                      <w:marRight w:val="0"/>
                      <w:marTop w:val="0"/>
                      <w:marBottom w:val="0"/>
                      <w:divBdr>
                        <w:top w:val="none" w:sz="0" w:space="0" w:color="auto"/>
                        <w:left w:val="none" w:sz="0" w:space="0" w:color="auto"/>
                        <w:bottom w:val="none" w:sz="0" w:space="0" w:color="auto"/>
                        <w:right w:val="none" w:sz="0" w:space="0" w:color="auto"/>
                      </w:divBdr>
                    </w:div>
                    <w:div w:id="849834140">
                      <w:marLeft w:val="0"/>
                      <w:marRight w:val="0"/>
                      <w:marTop w:val="0"/>
                      <w:marBottom w:val="0"/>
                      <w:divBdr>
                        <w:top w:val="none" w:sz="0" w:space="0" w:color="auto"/>
                        <w:left w:val="none" w:sz="0" w:space="0" w:color="auto"/>
                        <w:bottom w:val="none" w:sz="0" w:space="0" w:color="auto"/>
                        <w:right w:val="none" w:sz="0" w:space="0" w:color="auto"/>
                      </w:divBdr>
                    </w:div>
                    <w:div w:id="1129594784">
                      <w:marLeft w:val="0"/>
                      <w:marRight w:val="0"/>
                      <w:marTop w:val="0"/>
                      <w:marBottom w:val="0"/>
                      <w:divBdr>
                        <w:top w:val="none" w:sz="0" w:space="0" w:color="auto"/>
                        <w:left w:val="none" w:sz="0" w:space="0" w:color="auto"/>
                        <w:bottom w:val="none" w:sz="0" w:space="0" w:color="auto"/>
                        <w:right w:val="none" w:sz="0" w:space="0" w:color="auto"/>
                      </w:divBdr>
                    </w:div>
                    <w:div w:id="1190332900">
                      <w:marLeft w:val="0"/>
                      <w:marRight w:val="0"/>
                      <w:marTop w:val="0"/>
                      <w:marBottom w:val="0"/>
                      <w:divBdr>
                        <w:top w:val="none" w:sz="0" w:space="0" w:color="auto"/>
                        <w:left w:val="none" w:sz="0" w:space="0" w:color="auto"/>
                        <w:bottom w:val="none" w:sz="0" w:space="0" w:color="auto"/>
                        <w:right w:val="none" w:sz="0" w:space="0" w:color="auto"/>
                      </w:divBdr>
                    </w:div>
                  </w:divsChild>
                </w:div>
                <w:div w:id="2114938326">
                  <w:marLeft w:val="0"/>
                  <w:marRight w:val="0"/>
                  <w:marTop w:val="0"/>
                  <w:marBottom w:val="0"/>
                  <w:divBdr>
                    <w:top w:val="none" w:sz="0" w:space="0" w:color="auto"/>
                    <w:left w:val="none" w:sz="0" w:space="0" w:color="auto"/>
                    <w:bottom w:val="none" w:sz="0" w:space="0" w:color="auto"/>
                    <w:right w:val="none" w:sz="0" w:space="0" w:color="auto"/>
                  </w:divBdr>
                  <w:divsChild>
                    <w:div w:id="1766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dadvice@ombo.nsw.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gislation.nsw.gov.au/view/html/inforce/current/act-2013-041"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lg@olg.nsw.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ilecc_executive@oilecc.nsw.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icac_executive@oiicac.nsw.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edBy xmlns="3833cdf9-254c-4e25-b21c-46dbd78ddc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8EEADD2E814AB33B684FB70C12A3" ma:contentTypeVersion="5" ma:contentTypeDescription="Create a new document." ma:contentTypeScope="" ma:versionID="d51d0503333bc98c923a50b00ad8e102">
  <xsd:schema xmlns:xsd="http://www.w3.org/2001/XMLSchema" xmlns:xs="http://www.w3.org/2001/XMLSchema" xmlns:p="http://schemas.microsoft.com/office/2006/metadata/properties" xmlns:ns2="3833cdf9-254c-4e25-b21c-46dbd78ddc06" xmlns:ns3="b297ad0e-32f8-4824-b31c-622b48b4ceb0" targetNamespace="http://schemas.microsoft.com/office/2006/metadata/properties" ma:root="true" ma:fieldsID="a869aeca16fd1e4df0b2276ae17ea5eb" ns2:_="" ns3:_="">
    <xsd:import namespace="3833cdf9-254c-4e25-b21c-46dbd78ddc06"/>
    <xsd:import namespace="b297ad0e-32f8-4824-b31c-622b48b4ce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3cdf9-254c-4e25-b21c-46dbd78dd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dBy" ma:index="12" nillable="true" ma:displayName="Reviewed By" ma:default="Louise Lazzarino" ma:format="Dropdown" ma:internalName="Review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97ad0e-32f8-4824-b31c-622b48b4ce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4F52F-E558-4EBD-A7DD-EE2486E6A2A1}">
  <ds:schemaRefs>
    <ds:schemaRef ds:uri="http://schemas.openxmlformats.org/officeDocument/2006/bibliography"/>
  </ds:schemaRefs>
</ds:datastoreItem>
</file>

<file path=customXml/itemProps2.xml><?xml version="1.0" encoding="utf-8"?>
<ds:datastoreItem xmlns:ds="http://schemas.openxmlformats.org/officeDocument/2006/customXml" ds:itemID="{B2B17908-D3FC-4FD0-B860-D7B6DFC1029C}">
  <ds:schemaRefs>
    <ds:schemaRef ds:uri="http://schemas.microsoft.com/office/2006/metadata/properties"/>
    <ds:schemaRef ds:uri="http://schemas.microsoft.com/office/infopath/2007/PartnerControls"/>
    <ds:schemaRef ds:uri="3833cdf9-254c-4e25-b21c-46dbd78ddc06"/>
  </ds:schemaRefs>
</ds:datastoreItem>
</file>

<file path=customXml/itemProps3.xml><?xml version="1.0" encoding="utf-8"?>
<ds:datastoreItem xmlns:ds="http://schemas.openxmlformats.org/officeDocument/2006/customXml" ds:itemID="{E3D84C4E-0020-46D5-AD47-949E3173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3cdf9-254c-4e25-b21c-46dbd78ddc06"/>
    <ds:schemaRef ds:uri="b297ad0e-32f8-4824-b31c-622b48b4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FF440-2E4C-44B6-84A7-45648D7CD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11162</Words>
  <Characters>58495</Characters>
  <Application>Microsoft Office Word</Application>
  <DocSecurity>0</DocSecurity>
  <Lines>1580</Lines>
  <Paragraphs>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68690</CharactersWithSpaces>
  <SharedDoc>false</SharedDoc>
  <HLinks>
    <vt:vector size="342" baseType="variant">
      <vt:variant>
        <vt:i4>720952</vt:i4>
      </vt:variant>
      <vt:variant>
        <vt:i4>279</vt:i4>
      </vt:variant>
      <vt:variant>
        <vt:i4>0</vt:i4>
      </vt:variant>
      <vt:variant>
        <vt:i4>5</vt:i4>
      </vt:variant>
      <vt:variant>
        <vt:lpwstr>mailto:olg@olg.nsw.gov.au</vt:lpwstr>
      </vt:variant>
      <vt:variant>
        <vt:lpwstr/>
      </vt:variant>
      <vt:variant>
        <vt:i4>131086</vt:i4>
      </vt:variant>
      <vt:variant>
        <vt:i4>276</vt:i4>
      </vt:variant>
      <vt:variant>
        <vt:i4>0</vt:i4>
      </vt:variant>
      <vt:variant>
        <vt:i4>5</vt:i4>
      </vt:variant>
      <vt:variant>
        <vt:lpwstr>mailto:oilecc_executive@oilecc.nsw.gov.au</vt:lpwstr>
      </vt:variant>
      <vt:variant>
        <vt:lpwstr/>
      </vt:variant>
      <vt:variant>
        <vt:i4>196623</vt:i4>
      </vt:variant>
      <vt:variant>
        <vt:i4>273</vt:i4>
      </vt:variant>
      <vt:variant>
        <vt:i4>0</vt:i4>
      </vt:variant>
      <vt:variant>
        <vt:i4>5</vt:i4>
      </vt:variant>
      <vt:variant>
        <vt:lpwstr>mailto:oiicac_executive@oiicac.nsw.gov.au</vt:lpwstr>
      </vt:variant>
      <vt:variant>
        <vt:lpwstr/>
      </vt:variant>
      <vt:variant>
        <vt:i4>5505148</vt:i4>
      </vt:variant>
      <vt:variant>
        <vt:i4>270</vt:i4>
      </vt:variant>
      <vt:variant>
        <vt:i4>0</vt:i4>
      </vt:variant>
      <vt:variant>
        <vt:i4>5</vt:i4>
      </vt:variant>
      <vt:variant>
        <vt:lpwstr>mailto:pidadvice@ombo.nsw.gov.au</vt:lpwstr>
      </vt:variant>
      <vt:variant>
        <vt:lpwstr/>
      </vt:variant>
      <vt:variant>
        <vt:i4>1966170</vt:i4>
      </vt:variant>
      <vt:variant>
        <vt:i4>267</vt:i4>
      </vt:variant>
      <vt:variant>
        <vt:i4>0</vt:i4>
      </vt:variant>
      <vt:variant>
        <vt:i4>5</vt:i4>
      </vt:variant>
      <vt:variant>
        <vt:lpwstr>https://legislation.nsw.gov.au/view/html/inforce/current/act-2013-041</vt:lpwstr>
      </vt:variant>
      <vt:variant>
        <vt:lpwstr/>
      </vt:variant>
      <vt:variant>
        <vt:i4>1900604</vt:i4>
      </vt:variant>
      <vt:variant>
        <vt:i4>260</vt:i4>
      </vt:variant>
      <vt:variant>
        <vt:i4>0</vt:i4>
      </vt:variant>
      <vt:variant>
        <vt:i4>5</vt:i4>
      </vt:variant>
      <vt:variant>
        <vt:lpwstr/>
      </vt:variant>
      <vt:variant>
        <vt:lpwstr>_Toc137638978</vt:lpwstr>
      </vt:variant>
      <vt:variant>
        <vt:i4>1900604</vt:i4>
      </vt:variant>
      <vt:variant>
        <vt:i4>254</vt:i4>
      </vt:variant>
      <vt:variant>
        <vt:i4>0</vt:i4>
      </vt:variant>
      <vt:variant>
        <vt:i4>5</vt:i4>
      </vt:variant>
      <vt:variant>
        <vt:lpwstr/>
      </vt:variant>
      <vt:variant>
        <vt:lpwstr>_Toc137638977</vt:lpwstr>
      </vt:variant>
      <vt:variant>
        <vt:i4>1900604</vt:i4>
      </vt:variant>
      <vt:variant>
        <vt:i4>248</vt:i4>
      </vt:variant>
      <vt:variant>
        <vt:i4>0</vt:i4>
      </vt:variant>
      <vt:variant>
        <vt:i4>5</vt:i4>
      </vt:variant>
      <vt:variant>
        <vt:lpwstr/>
      </vt:variant>
      <vt:variant>
        <vt:lpwstr>_Toc137638976</vt:lpwstr>
      </vt:variant>
      <vt:variant>
        <vt:i4>1835068</vt:i4>
      </vt:variant>
      <vt:variant>
        <vt:i4>242</vt:i4>
      </vt:variant>
      <vt:variant>
        <vt:i4>0</vt:i4>
      </vt:variant>
      <vt:variant>
        <vt:i4>5</vt:i4>
      </vt:variant>
      <vt:variant>
        <vt:lpwstr/>
      </vt:variant>
      <vt:variant>
        <vt:lpwstr>_Toc137638965</vt:lpwstr>
      </vt:variant>
      <vt:variant>
        <vt:i4>1835068</vt:i4>
      </vt:variant>
      <vt:variant>
        <vt:i4>236</vt:i4>
      </vt:variant>
      <vt:variant>
        <vt:i4>0</vt:i4>
      </vt:variant>
      <vt:variant>
        <vt:i4>5</vt:i4>
      </vt:variant>
      <vt:variant>
        <vt:lpwstr/>
      </vt:variant>
      <vt:variant>
        <vt:lpwstr>_Toc137638964</vt:lpwstr>
      </vt:variant>
      <vt:variant>
        <vt:i4>1835068</vt:i4>
      </vt:variant>
      <vt:variant>
        <vt:i4>230</vt:i4>
      </vt:variant>
      <vt:variant>
        <vt:i4>0</vt:i4>
      </vt:variant>
      <vt:variant>
        <vt:i4>5</vt:i4>
      </vt:variant>
      <vt:variant>
        <vt:lpwstr/>
      </vt:variant>
      <vt:variant>
        <vt:lpwstr>_Toc137638963</vt:lpwstr>
      </vt:variant>
      <vt:variant>
        <vt:i4>1835068</vt:i4>
      </vt:variant>
      <vt:variant>
        <vt:i4>224</vt:i4>
      </vt:variant>
      <vt:variant>
        <vt:i4>0</vt:i4>
      </vt:variant>
      <vt:variant>
        <vt:i4>5</vt:i4>
      </vt:variant>
      <vt:variant>
        <vt:lpwstr/>
      </vt:variant>
      <vt:variant>
        <vt:lpwstr>_Toc137638962</vt:lpwstr>
      </vt:variant>
      <vt:variant>
        <vt:i4>1835068</vt:i4>
      </vt:variant>
      <vt:variant>
        <vt:i4>218</vt:i4>
      </vt:variant>
      <vt:variant>
        <vt:i4>0</vt:i4>
      </vt:variant>
      <vt:variant>
        <vt:i4>5</vt:i4>
      </vt:variant>
      <vt:variant>
        <vt:lpwstr/>
      </vt:variant>
      <vt:variant>
        <vt:lpwstr>_Toc137638961</vt:lpwstr>
      </vt:variant>
      <vt:variant>
        <vt:i4>1835068</vt:i4>
      </vt:variant>
      <vt:variant>
        <vt:i4>212</vt:i4>
      </vt:variant>
      <vt:variant>
        <vt:i4>0</vt:i4>
      </vt:variant>
      <vt:variant>
        <vt:i4>5</vt:i4>
      </vt:variant>
      <vt:variant>
        <vt:lpwstr/>
      </vt:variant>
      <vt:variant>
        <vt:lpwstr>_Toc137638960</vt:lpwstr>
      </vt:variant>
      <vt:variant>
        <vt:i4>2031676</vt:i4>
      </vt:variant>
      <vt:variant>
        <vt:i4>206</vt:i4>
      </vt:variant>
      <vt:variant>
        <vt:i4>0</vt:i4>
      </vt:variant>
      <vt:variant>
        <vt:i4>5</vt:i4>
      </vt:variant>
      <vt:variant>
        <vt:lpwstr/>
      </vt:variant>
      <vt:variant>
        <vt:lpwstr>_Toc137638953</vt:lpwstr>
      </vt:variant>
      <vt:variant>
        <vt:i4>2031676</vt:i4>
      </vt:variant>
      <vt:variant>
        <vt:i4>200</vt:i4>
      </vt:variant>
      <vt:variant>
        <vt:i4>0</vt:i4>
      </vt:variant>
      <vt:variant>
        <vt:i4>5</vt:i4>
      </vt:variant>
      <vt:variant>
        <vt:lpwstr/>
      </vt:variant>
      <vt:variant>
        <vt:lpwstr>_Toc137638952</vt:lpwstr>
      </vt:variant>
      <vt:variant>
        <vt:i4>2031676</vt:i4>
      </vt:variant>
      <vt:variant>
        <vt:i4>194</vt:i4>
      </vt:variant>
      <vt:variant>
        <vt:i4>0</vt:i4>
      </vt:variant>
      <vt:variant>
        <vt:i4>5</vt:i4>
      </vt:variant>
      <vt:variant>
        <vt:lpwstr/>
      </vt:variant>
      <vt:variant>
        <vt:lpwstr>_Toc137638951</vt:lpwstr>
      </vt:variant>
      <vt:variant>
        <vt:i4>2031676</vt:i4>
      </vt:variant>
      <vt:variant>
        <vt:i4>188</vt:i4>
      </vt:variant>
      <vt:variant>
        <vt:i4>0</vt:i4>
      </vt:variant>
      <vt:variant>
        <vt:i4>5</vt:i4>
      </vt:variant>
      <vt:variant>
        <vt:lpwstr/>
      </vt:variant>
      <vt:variant>
        <vt:lpwstr>_Toc137638950</vt:lpwstr>
      </vt:variant>
      <vt:variant>
        <vt:i4>1966140</vt:i4>
      </vt:variant>
      <vt:variant>
        <vt:i4>182</vt:i4>
      </vt:variant>
      <vt:variant>
        <vt:i4>0</vt:i4>
      </vt:variant>
      <vt:variant>
        <vt:i4>5</vt:i4>
      </vt:variant>
      <vt:variant>
        <vt:lpwstr/>
      </vt:variant>
      <vt:variant>
        <vt:lpwstr>_Toc137638949</vt:lpwstr>
      </vt:variant>
      <vt:variant>
        <vt:i4>1966140</vt:i4>
      </vt:variant>
      <vt:variant>
        <vt:i4>176</vt:i4>
      </vt:variant>
      <vt:variant>
        <vt:i4>0</vt:i4>
      </vt:variant>
      <vt:variant>
        <vt:i4>5</vt:i4>
      </vt:variant>
      <vt:variant>
        <vt:lpwstr/>
      </vt:variant>
      <vt:variant>
        <vt:lpwstr>_Toc137638946</vt:lpwstr>
      </vt:variant>
      <vt:variant>
        <vt:i4>1966140</vt:i4>
      </vt:variant>
      <vt:variant>
        <vt:i4>170</vt:i4>
      </vt:variant>
      <vt:variant>
        <vt:i4>0</vt:i4>
      </vt:variant>
      <vt:variant>
        <vt:i4>5</vt:i4>
      </vt:variant>
      <vt:variant>
        <vt:lpwstr/>
      </vt:variant>
      <vt:variant>
        <vt:lpwstr>_Toc137638945</vt:lpwstr>
      </vt:variant>
      <vt:variant>
        <vt:i4>1966140</vt:i4>
      </vt:variant>
      <vt:variant>
        <vt:i4>164</vt:i4>
      </vt:variant>
      <vt:variant>
        <vt:i4>0</vt:i4>
      </vt:variant>
      <vt:variant>
        <vt:i4>5</vt:i4>
      </vt:variant>
      <vt:variant>
        <vt:lpwstr/>
      </vt:variant>
      <vt:variant>
        <vt:lpwstr>_Toc137638944</vt:lpwstr>
      </vt:variant>
      <vt:variant>
        <vt:i4>1966140</vt:i4>
      </vt:variant>
      <vt:variant>
        <vt:i4>158</vt:i4>
      </vt:variant>
      <vt:variant>
        <vt:i4>0</vt:i4>
      </vt:variant>
      <vt:variant>
        <vt:i4>5</vt:i4>
      </vt:variant>
      <vt:variant>
        <vt:lpwstr/>
      </vt:variant>
      <vt:variant>
        <vt:lpwstr>_Toc137638943</vt:lpwstr>
      </vt:variant>
      <vt:variant>
        <vt:i4>1966140</vt:i4>
      </vt:variant>
      <vt:variant>
        <vt:i4>152</vt:i4>
      </vt:variant>
      <vt:variant>
        <vt:i4>0</vt:i4>
      </vt:variant>
      <vt:variant>
        <vt:i4>5</vt:i4>
      </vt:variant>
      <vt:variant>
        <vt:lpwstr/>
      </vt:variant>
      <vt:variant>
        <vt:lpwstr>_Toc137638942</vt:lpwstr>
      </vt:variant>
      <vt:variant>
        <vt:i4>1966140</vt:i4>
      </vt:variant>
      <vt:variant>
        <vt:i4>146</vt:i4>
      </vt:variant>
      <vt:variant>
        <vt:i4>0</vt:i4>
      </vt:variant>
      <vt:variant>
        <vt:i4>5</vt:i4>
      </vt:variant>
      <vt:variant>
        <vt:lpwstr/>
      </vt:variant>
      <vt:variant>
        <vt:lpwstr>_Toc137638941</vt:lpwstr>
      </vt:variant>
      <vt:variant>
        <vt:i4>1966140</vt:i4>
      </vt:variant>
      <vt:variant>
        <vt:i4>140</vt:i4>
      </vt:variant>
      <vt:variant>
        <vt:i4>0</vt:i4>
      </vt:variant>
      <vt:variant>
        <vt:i4>5</vt:i4>
      </vt:variant>
      <vt:variant>
        <vt:lpwstr/>
      </vt:variant>
      <vt:variant>
        <vt:lpwstr>_Toc137638940</vt:lpwstr>
      </vt:variant>
      <vt:variant>
        <vt:i4>1638460</vt:i4>
      </vt:variant>
      <vt:variant>
        <vt:i4>134</vt:i4>
      </vt:variant>
      <vt:variant>
        <vt:i4>0</vt:i4>
      </vt:variant>
      <vt:variant>
        <vt:i4>5</vt:i4>
      </vt:variant>
      <vt:variant>
        <vt:lpwstr/>
      </vt:variant>
      <vt:variant>
        <vt:lpwstr>_Toc137638939</vt:lpwstr>
      </vt:variant>
      <vt:variant>
        <vt:i4>1638460</vt:i4>
      </vt:variant>
      <vt:variant>
        <vt:i4>128</vt:i4>
      </vt:variant>
      <vt:variant>
        <vt:i4>0</vt:i4>
      </vt:variant>
      <vt:variant>
        <vt:i4>5</vt:i4>
      </vt:variant>
      <vt:variant>
        <vt:lpwstr/>
      </vt:variant>
      <vt:variant>
        <vt:lpwstr>_Toc137638938</vt:lpwstr>
      </vt:variant>
      <vt:variant>
        <vt:i4>1638460</vt:i4>
      </vt:variant>
      <vt:variant>
        <vt:i4>122</vt:i4>
      </vt:variant>
      <vt:variant>
        <vt:i4>0</vt:i4>
      </vt:variant>
      <vt:variant>
        <vt:i4>5</vt:i4>
      </vt:variant>
      <vt:variant>
        <vt:lpwstr/>
      </vt:variant>
      <vt:variant>
        <vt:lpwstr>_Toc137638937</vt:lpwstr>
      </vt:variant>
      <vt:variant>
        <vt:i4>1638460</vt:i4>
      </vt:variant>
      <vt:variant>
        <vt:i4>116</vt:i4>
      </vt:variant>
      <vt:variant>
        <vt:i4>0</vt:i4>
      </vt:variant>
      <vt:variant>
        <vt:i4>5</vt:i4>
      </vt:variant>
      <vt:variant>
        <vt:lpwstr/>
      </vt:variant>
      <vt:variant>
        <vt:lpwstr>_Toc137638936</vt:lpwstr>
      </vt:variant>
      <vt:variant>
        <vt:i4>1638460</vt:i4>
      </vt:variant>
      <vt:variant>
        <vt:i4>110</vt:i4>
      </vt:variant>
      <vt:variant>
        <vt:i4>0</vt:i4>
      </vt:variant>
      <vt:variant>
        <vt:i4>5</vt:i4>
      </vt:variant>
      <vt:variant>
        <vt:lpwstr/>
      </vt:variant>
      <vt:variant>
        <vt:lpwstr>_Toc137638935</vt:lpwstr>
      </vt:variant>
      <vt:variant>
        <vt:i4>1638460</vt:i4>
      </vt:variant>
      <vt:variant>
        <vt:i4>104</vt:i4>
      </vt:variant>
      <vt:variant>
        <vt:i4>0</vt:i4>
      </vt:variant>
      <vt:variant>
        <vt:i4>5</vt:i4>
      </vt:variant>
      <vt:variant>
        <vt:lpwstr/>
      </vt:variant>
      <vt:variant>
        <vt:lpwstr>_Toc137638934</vt:lpwstr>
      </vt:variant>
      <vt:variant>
        <vt:i4>1638460</vt:i4>
      </vt:variant>
      <vt:variant>
        <vt:i4>98</vt:i4>
      </vt:variant>
      <vt:variant>
        <vt:i4>0</vt:i4>
      </vt:variant>
      <vt:variant>
        <vt:i4>5</vt:i4>
      </vt:variant>
      <vt:variant>
        <vt:lpwstr/>
      </vt:variant>
      <vt:variant>
        <vt:lpwstr>_Toc137638933</vt:lpwstr>
      </vt:variant>
      <vt:variant>
        <vt:i4>1638460</vt:i4>
      </vt:variant>
      <vt:variant>
        <vt:i4>92</vt:i4>
      </vt:variant>
      <vt:variant>
        <vt:i4>0</vt:i4>
      </vt:variant>
      <vt:variant>
        <vt:i4>5</vt:i4>
      </vt:variant>
      <vt:variant>
        <vt:lpwstr/>
      </vt:variant>
      <vt:variant>
        <vt:lpwstr>_Toc137638932</vt:lpwstr>
      </vt:variant>
      <vt:variant>
        <vt:i4>1638460</vt:i4>
      </vt:variant>
      <vt:variant>
        <vt:i4>86</vt:i4>
      </vt:variant>
      <vt:variant>
        <vt:i4>0</vt:i4>
      </vt:variant>
      <vt:variant>
        <vt:i4>5</vt:i4>
      </vt:variant>
      <vt:variant>
        <vt:lpwstr/>
      </vt:variant>
      <vt:variant>
        <vt:lpwstr>_Toc137638931</vt:lpwstr>
      </vt:variant>
      <vt:variant>
        <vt:i4>1638460</vt:i4>
      </vt:variant>
      <vt:variant>
        <vt:i4>80</vt:i4>
      </vt:variant>
      <vt:variant>
        <vt:i4>0</vt:i4>
      </vt:variant>
      <vt:variant>
        <vt:i4>5</vt:i4>
      </vt:variant>
      <vt:variant>
        <vt:lpwstr/>
      </vt:variant>
      <vt:variant>
        <vt:lpwstr>_Toc137638930</vt:lpwstr>
      </vt:variant>
      <vt:variant>
        <vt:i4>1572924</vt:i4>
      </vt:variant>
      <vt:variant>
        <vt:i4>74</vt:i4>
      </vt:variant>
      <vt:variant>
        <vt:i4>0</vt:i4>
      </vt:variant>
      <vt:variant>
        <vt:i4>5</vt:i4>
      </vt:variant>
      <vt:variant>
        <vt:lpwstr/>
      </vt:variant>
      <vt:variant>
        <vt:lpwstr>_Toc137638929</vt:lpwstr>
      </vt:variant>
      <vt:variant>
        <vt:i4>1572924</vt:i4>
      </vt:variant>
      <vt:variant>
        <vt:i4>68</vt:i4>
      </vt:variant>
      <vt:variant>
        <vt:i4>0</vt:i4>
      </vt:variant>
      <vt:variant>
        <vt:i4>5</vt:i4>
      </vt:variant>
      <vt:variant>
        <vt:lpwstr/>
      </vt:variant>
      <vt:variant>
        <vt:lpwstr>_Toc137638928</vt:lpwstr>
      </vt:variant>
      <vt:variant>
        <vt:i4>1572924</vt:i4>
      </vt:variant>
      <vt:variant>
        <vt:i4>62</vt:i4>
      </vt:variant>
      <vt:variant>
        <vt:i4>0</vt:i4>
      </vt:variant>
      <vt:variant>
        <vt:i4>5</vt:i4>
      </vt:variant>
      <vt:variant>
        <vt:lpwstr/>
      </vt:variant>
      <vt:variant>
        <vt:lpwstr>_Toc137638927</vt:lpwstr>
      </vt:variant>
      <vt:variant>
        <vt:i4>1572924</vt:i4>
      </vt:variant>
      <vt:variant>
        <vt:i4>56</vt:i4>
      </vt:variant>
      <vt:variant>
        <vt:i4>0</vt:i4>
      </vt:variant>
      <vt:variant>
        <vt:i4>5</vt:i4>
      </vt:variant>
      <vt:variant>
        <vt:lpwstr/>
      </vt:variant>
      <vt:variant>
        <vt:lpwstr>_Toc137638926</vt:lpwstr>
      </vt:variant>
      <vt:variant>
        <vt:i4>1572924</vt:i4>
      </vt:variant>
      <vt:variant>
        <vt:i4>50</vt:i4>
      </vt:variant>
      <vt:variant>
        <vt:i4>0</vt:i4>
      </vt:variant>
      <vt:variant>
        <vt:i4>5</vt:i4>
      </vt:variant>
      <vt:variant>
        <vt:lpwstr/>
      </vt:variant>
      <vt:variant>
        <vt:lpwstr>_Toc137638925</vt:lpwstr>
      </vt:variant>
      <vt:variant>
        <vt:i4>1572924</vt:i4>
      </vt:variant>
      <vt:variant>
        <vt:i4>44</vt:i4>
      </vt:variant>
      <vt:variant>
        <vt:i4>0</vt:i4>
      </vt:variant>
      <vt:variant>
        <vt:i4>5</vt:i4>
      </vt:variant>
      <vt:variant>
        <vt:lpwstr/>
      </vt:variant>
      <vt:variant>
        <vt:lpwstr>_Toc137638922</vt:lpwstr>
      </vt:variant>
      <vt:variant>
        <vt:i4>1572924</vt:i4>
      </vt:variant>
      <vt:variant>
        <vt:i4>38</vt:i4>
      </vt:variant>
      <vt:variant>
        <vt:i4>0</vt:i4>
      </vt:variant>
      <vt:variant>
        <vt:i4>5</vt:i4>
      </vt:variant>
      <vt:variant>
        <vt:lpwstr/>
      </vt:variant>
      <vt:variant>
        <vt:lpwstr>_Toc137638921</vt:lpwstr>
      </vt:variant>
      <vt:variant>
        <vt:i4>1769532</vt:i4>
      </vt:variant>
      <vt:variant>
        <vt:i4>32</vt:i4>
      </vt:variant>
      <vt:variant>
        <vt:i4>0</vt:i4>
      </vt:variant>
      <vt:variant>
        <vt:i4>5</vt:i4>
      </vt:variant>
      <vt:variant>
        <vt:lpwstr/>
      </vt:variant>
      <vt:variant>
        <vt:lpwstr>_Toc137638910</vt:lpwstr>
      </vt:variant>
      <vt:variant>
        <vt:i4>1703996</vt:i4>
      </vt:variant>
      <vt:variant>
        <vt:i4>26</vt:i4>
      </vt:variant>
      <vt:variant>
        <vt:i4>0</vt:i4>
      </vt:variant>
      <vt:variant>
        <vt:i4>5</vt:i4>
      </vt:variant>
      <vt:variant>
        <vt:lpwstr/>
      </vt:variant>
      <vt:variant>
        <vt:lpwstr>_Toc137638909</vt:lpwstr>
      </vt:variant>
      <vt:variant>
        <vt:i4>1703996</vt:i4>
      </vt:variant>
      <vt:variant>
        <vt:i4>20</vt:i4>
      </vt:variant>
      <vt:variant>
        <vt:i4>0</vt:i4>
      </vt:variant>
      <vt:variant>
        <vt:i4>5</vt:i4>
      </vt:variant>
      <vt:variant>
        <vt:lpwstr/>
      </vt:variant>
      <vt:variant>
        <vt:lpwstr>_Toc137638908</vt:lpwstr>
      </vt:variant>
      <vt:variant>
        <vt:i4>1703996</vt:i4>
      </vt:variant>
      <vt:variant>
        <vt:i4>14</vt:i4>
      </vt:variant>
      <vt:variant>
        <vt:i4>0</vt:i4>
      </vt:variant>
      <vt:variant>
        <vt:i4>5</vt:i4>
      </vt:variant>
      <vt:variant>
        <vt:lpwstr/>
      </vt:variant>
      <vt:variant>
        <vt:lpwstr>_Toc137638907</vt:lpwstr>
      </vt:variant>
      <vt:variant>
        <vt:i4>1703996</vt:i4>
      </vt:variant>
      <vt:variant>
        <vt:i4>8</vt:i4>
      </vt:variant>
      <vt:variant>
        <vt:i4>0</vt:i4>
      </vt:variant>
      <vt:variant>
        <vt:i4>5</vt:i4>
      </vt:variant>
      <vt:variant>
        <vt:lpwstr/>
      </vt:variant>
      <vt:variant>
        <vt:lpwstr>_Toc137638906</vt:lpwstr>
      </vt:variant>
      <vt:variant>
        <vt:i4>1703996</vt:i4>
      </vt:variant>
      <vt:variant>
        <vt:i4>2</vt:i4>
      </vt:variant>
      <vt:variant>
        <vt:i4>0</vt:i4>
      </vt:variant>
      <vt:variant>
        <vt:i4>5</vt:i4>
      </vt:variant>
      <vt:variant>
        <vt:lpwstr/>
      </vt:variant>
      <vt:variant>
        <vt:lpwstr>_Toc137638905</vt:lpwstr>
      </vt:variant>
      <vt:variant>
        <vt:i4>2621465</vt:i4>
      </vt:variant>
      <vt:variant>
        <vt:i4>21</vt:i4>
      </vt:variant>
      <vt:variant>
        <vt:i4>0</vt:i4>
      </vt:variant>
      <vt:variant>
        <vt:i4>5</vt:i4>
      </vt:variant>
      <vt:variant>
        <vt:lpwstr>mailto:eobrien@ombo.nsw.gov.au</vt:lpwstr>
      </vt:variant>
      <vt:variant>
        <vt:lpwstr/>
      </vt:variant>
      <vt:variant>
        <vt:i4>2228228</vt:i4>
      </vt:variant>
      <vt:variant>
        <vt:i4>18</vt:i4>
      </vt:variant>
      <vt:variant>
        <vt:i4>0</vt:i4>
      </vt:variant>
      <vt:variant>
        <vt:i4>5</vt:i4>
      </vt:variant>
      <vt:variant>
        <vt:lpwstr>mailto:llazzarino@ombo.nsw.gov.au</vt:lpwstr>
      </vt:variant>
      <vt:variant>
        <vt:lpwstr/>
      </vt:variant>
      <vt:variant>
        <vt:i4>2621465</vt:i4>
      </vt:variant>
      <vt:variant>
        <vt:i4>15</vt:i4>
      </vt:variant>
      <vt:variant>
        <vt:i4>0</vt:i4>
      </vt:variant>
      <vt:variant>
        <vt:i4>5</vt:i4>
      </vt:variant>
      <vt:variant>
        <vt:lpwstr>mailto:eobrien@ombo.nsw.gov.au</vt:lpwstr>
      </vt:variant>
      <vt:variant>
        <vt:lpwstr/>
      </vt:variant>
      <vt:variant>
        <vt:i4>2621465</vt:i4>
      </vt:variant>
      <vt:variant>
        <vt:i4>12</vt:i4>
      </vt:variant>
      <vt:variant>
        <vt:i4>0</vt:i4>
      </vt:variant>
      <vt:variant>
        <vt:i4>5</vt:i4>
      </vt:variant>
      <vt:variant>
        <vt:lpwstr>mailto:eobrien@ombo.nsw.gov.au</vt:lpwstr>
      </vt:variant>
      <vt:variant>
        <vt:lpwstr/>
      </vt:variant>
      <vt:variant>
        <vt:i4>2621465</vt:i4>
      </vt:variant>
      <vt:variant>
        <vt:i4>9</vt:i4>
      </vt:variant>
      <vt:variant>
        <vt:i4>0</vt:i4>
      </vt:variant>
      <vt:variant>
        <vt:i4>5</vt:i4>
      </vt:variant>
      <vt:variant>
        <vt:lpwstr>mailto:eobrien@ombo.nsw.gov.au</vt:lpwstr>
      </vt:variant>
      <vt:variant>
        <vt:lpwstr/>
      </vt:variant>
      <vt:variant>
        <vt:i4>2621465</vt:i4>
      </vt:variant>
      <vt:variant>
        <vt:i4>6</vt:i4>
      </vt:variant>
      <vt:variant>
        <vt:i4>0</vt:i4>
      </vt:variant>
      <vt:variant>
        <vt:i4>5</vt:i4>
      </vt:variant>
      <vt:variant>
        <vt:lpwstr>mailto:eobrien@ombo.nsw.gov.au</vt:lpwstr>
      </vt:variant>
      <vt:variant>
        <vt:lpwstr/>
      </vt:variant>
      <vt:variant>
        <vt:i4>2621465</vt:i4>
      </vt:variant>
      <vt:variant>
        <vt:i4>3</vt:i4>
      </vt:variant>
      <vt:variant>
        <vt:i4>0</vt:i4>
      </vt:variant>
      <vt:variant>
        <vt:i4>5</vt:i4>
      </vt:variant>
      <vt:variant>
        <vt:lpwstr>mailto:eobrien@ombo.nsw.gov.au</vt:lpwstr>
      </vt:variant>
      <vt:variant>
        <vt:lpwstr/>
      </vt:variant>
      <vt:variant>
        <vt:i4>2621465</vt:i4>
      </vt:variant>
      <vt:variant>
        <vt:i4>0</vt:i4>
      </vt:variant>
      <vt:variant>
        <vt:i4>0</vt:i4>
      </vt:variant>
      <vt:variant>
        <vt:i4>5</vt:i4>
      </vt:variant>
      <vt:variant>
        <vt:lpwstr>mailto:eobrien@ombo.nsw.gov.au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O'Brien</dc:creator>
  <cp:keywords>[SEC=UNCLASSIFIED]</cp:keywords>
  <dc:description/>
  <cp:lastModifiedBy>Michelle Clement</cp:lastModifiedBy>
  <cp:revision>2</cp:revision>
  <cp:lastPrinted>2023-07-17T01:12:00Z</cp:lastPrinted>
  <dcterms:created xsi:type="dcterms:W3CDTF">2023-09-29T07:44:00Z</dcterms:created>
  <dcterms:modified xsi:type="dcterms:W3CDTF">2023-09-29T07:44:00Z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5da542-3067-4c27-9b5f-8a6fca21e31e_Enabled">
    <vt:lpwstr>true</vt:lpwstr>
  </property>
  <property fmtid="{D5CDD505-2E9C-101B-9397-08002B2CF9AE}" pid="3" name="MSIP_Label_a15da542-3067-4c27-9b5f-8a6fca21e31e_SetDate">
    <vt:lpwstr>2023-04-20T05:51:47Z</vt:lpwstr>
  </property>
  <property fmtid="{D5CDD505-2E9C-101B-9397-08002B2CF9AE}" pid="4" name="MSIP_Label_a15da542-3067-4c27-9b5f-8a6fca21e31e_Method">
    <vt:lpwstr>Privileged</vt:lpwstr>
  </property>
  <property fmtid="{D5CDD505-2E9C-101B-9397-08002B2CF9AE}" pid="5" name="MSIP_Label_a15da542-3067-4c27-9b5f-8a6fca21e31e_Name">
    <vt:lpwstr>OFFICIAL</vt:lpwstr>
  </property>
  <property fmtid="{D5CDD505-2E9C-101B-9397-08002B2CF9AE}" pid="6" name="MSIP_Label_a15da542-3067-4c27-9b5f-8a6fca21e31e_SiteId">
    <vt:lpwstr>7ae7e45e-d131-4338-a665-63caa26b490a</vt:lpwstr>
  </property>
  <property fmtid="{D5CDD505-2E9C-101B-9397-08002B2CF9AE}" pid="7" name="MSIP_Label_a15da542-3067-4c27-9b5f-8a6fca21e31e_ActionId">
    <vt:lpwstr>8f24a17b-2523-472a-a6b3-6ff0bdc3d2ff</vt:lpwstr>
  </property>
  <property fmtid="{D5CDD505-2E9C-101B-9397-08002B2CF9AE}" pid="8" name="MSIP_Label_a15da542-3067-4c27-9b5f-8a6fca21e31e_ContentBits">
    <vt:lpwstr>0</vt:lpwstr>
  </property>
  <property fmtid="{D5CDD505-2E9C-101B-9397-08002B2CF9AE}" pid="9" name="ContentTypeId">
    <vt:lpwstr>0x01010008EC8EEADD2E814AB33B684FB70C12A3</vt:lpwstr>
  </property>
</Properties>
</file>